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EF7F" w14:textId="311DB8FA" w:rsidR="00261EE4" w:rsidRDefault="001B6334" w:rsidP="001529A1">
      <w:pPr>
        <w:pStyle w:val="MDPI21heading1"/>
      </w:pPr>
      <w:r>
        <w:rPr>
          <w:noProof/>
        </w:rPr>
        <w:drawing>
          <wp:anchor distT="0" distB="0" distL="114300" distR="114300" simplePos="0" relativeHeight="251663360" behindDoc="0" locked="0" layoutInCell="1" allowOverlap="1" wp14:anchorId="74855CC0" wp14:editId="5FDD4FE7">
            <wp:simplePos x="0" y="0"/>
            <wp:positionH relativeFrom="column">
              <wp:posOffset>-240665</wp:posOffset>
            </wp:positionH>
            <wp:positionV relativeFrom="paragraph">
              <wp:posOffset>0</wp:posOffset>
            </wp:positionV>
            <wp:extent cx="1410335" cy="1177290"/>
            <wp:effectExtent l="0" t="0" r="0" b="3810"/>
            <wp:wrapTopAndBottom/>
            <wp:docPr id="193851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014" t="7665" r="25239" b="12761"/>
                    <a:stretch>
                      <a:fillRect/>
                    </a:stretch>
                  </pic:blipFill>
                  <pic:spPr bwMode="auto">
                    <a:xfrm>
                      <a:off x="0" y="0"/>
                      <a:ext cx="1410335" cy="1177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465D">
        <w:rPr>
          <w:noProof/>
        </w:rPr>
        <mc:AlternateContent>
          <mc:Choice Requires="wps">
            <w:drawing>
              <wp:anchor distT="0" distB="0" distL="114300" distR="114300" simplePos="0" relativeHeight="251658240" behindDoc="0" locked="0" layoutInCell="1" hidden="0" allowOverlap="1" wp14:anchorId="2D551C09" wp14:editId="6AE2D632">
                <wp:simplePos x="0" y="0"/>
                <wp:positionH relativeFrom="column">
                  <wp:posOffset>819277</wp:posOffset>
                </wp:positionH>
                <wp:positionV relativeFrom="paragraph">
                  <wp:posOffset>78105</wp:posOffset>
                </wp:positionV>
                <wp:extent cx="4969129" cy="885825"/>
                <wp:effectExtent l="0" t="0" r="0" b="9525"/>
                <wp:wrapNone/>
                <wp:docPr id="2087487826" name="Rectangle 2087487826"/>
                <wp:cNvGraphicFramePr/>
                <a:graphic xmlns:a="http://schemas.openxmlformats.org/drawingml/2006/main">
                  <a:graphicData uri="http://schemas.microsoft.com/office/word/2010/wordprocessingShape">
                    <wps:wsp>
                      <wps:cNvSpPr/>
                      <wps:spPr>
                        <a:xfrm>
                          <a:off x="0" y="0"/>
                          <a:ext cx="4969129" cy="885825"/>
                        </a:xfrm>
                        <a:prstGeom prst="rect">
                          <a:avLst/>
                        </a:prstGeom>
                        <a:noFill/>
                        <a:ln>
                          <a:noFill/>
                        </a:ln>
                      </wps:spPr>
                      <wps:txbx>
                        <w:txbxContent>
                          <w:p w14:paraId="28A17E5C" w14:textId="3C30108C" w:rsidR="00856DB4" w:rsidRPr="001B6334" w:rsidRDefault="00680819" w:rsidP="00856DB4">
                            <w:pPr>
                              <w:jc w:val="center"/>
                              <w:textDirection w:val="btLr"/>
                              <w:rPr>
                                <w:rFonts w:ascii="Palatino Linotype" w:eastAsia="Palatino Linotype" w:hAnsi="Palatino Linotype" w:cs="Palatino Linotype"/>
                                <w:b/>
                                <w:bCs/>
                                <w:sz w:val="28"/>
                                <w:szCs w:val="28"/>
                              </w:rPr>
                            </w:pPr>
                            <w:r>
                              <w:rPr>
                                <w:rFonts w:ascii="Palatino Linotype" w:eastAsia="Palatino Linotype" w:hAnsi="Palatino Linotype" w:cs="Palatino Linotype"/>
                                <w:b/>
                                <w:sz w:val="28"/>
                                <w:szCs w:val="28"/>
                              </w:rPr>
                              <w:t>J</w:t>
                            </w:r>
                            <w:r w:rsidR="001B6334">
                              <w:rPr>
                                <w:rFonts w:ascii="Palatino Linotype" w:eastAsia="Palatino Linotype" w:hAnsi="Palatino Linotype" w:cs="Palatino Linotype"/>
                                <w:b/>
                                <w:sz w:val="28"/>
                                <w:szCs w:val="28"/>
                              </w:rPr>
                              <w:t>IMI</w:t>
                            </w:r>
                            <w:r w:rsidR="00FE4949" w:rsidRPr="005A465D">
                              <w:rPr>
                                <w:rFonts w:ascii="Palatino Linotype" w:eastAsia="Palatino Linotype" w:hAnsi="Palatino Linotype" w:cs="Palatino Linotype"/>
                                <w:b/>
                                <w:sz w:val="28"/>
                                <w:szCs w:val="28"/>
                              </w:rPr>
                              <w:t xml:space="preserve">: </w:t>
                            </w:r>
                            <w:r w:rsidR="001B6334" w:rsidRPr="001B6334">
                              <w:rPr>
                                <w:rFonts w:ascii="Palatino Linotype" w:eastAsia="Palatino Linotype" w:hAnsi="Palatino Linotype" w:cs="Palatino Linotype"/>
                                <w:b/>
                                <w:bCs/>
                                <w:sz w:val="28"/>
                                <w:szCs w:val="28"/>
                              </w:rPr>
                              <w:t>Jurnal Ilmiah Multidisiplin Indonesia</w:t>
                            </w:r>
                          </w:p>
                          <w:p w14:paraId="79394062" w14:textId="1F6499B3" w:rsidR="00261EE4" w:rsidRDefault="00000000" w:rsidP="00BB0ED9">
                            <w:pPr>
                              <w:spacing w:before="11"/>
                              <w:jc w:val="center"/>
                              <w:textDirection w:val="btLr"/>
                            </w:pPr>
                            <w:r>
                              <w:rPr>
                                <w:color w:val="000000"/>
                                <w:sz w:val="20"/>
                              </w:rPr>
                              <w:t>Vol</w:t>
                            </w:r>
                            <w:r w:rsidR="00BB0ED9">
                              <w:rPr>
                                <w:color w:val="000000"/>
                                <w:sz w:val="20"/>
                              </w:rPr>
                              <w:t xml:space="preserve"> 1</w:t>
                            </w:r>
                            <w:r>
                              <w:rPr>
                                <w:color w:val="000000"/>
                                <w:sz w:val="20"/>
                              </w:rPr>
                              <w:t xml:space="preserve">., No. </w:t>
                            </w:r>
                            <w:r w:rsidR="00BB0ED9">
                              <w:rPr>
                                <w:color w:val="000000"/>
                                <w:sz w:val="20"/>
                              </w:rPr>
                              <w:t>1</w:t>
                            </w:r>
                            <w:r>
                              <w:rPr>
                                <w:color w:val="000000"/>
                                <w:sz w:val="20"/>
                              </w:rPr>
                              <w:t xml:space="preserve">, </w:t>
                            </w:r>
                            <w:r w:rsidR="00BB0ED9">
                              <w:rPr>
                                <w:color w:val="000000"/>
                                <w:sz w:val="20"/>
                              </w:rPr>
                              <w:t>1</w:t>
                            </w:r>
                            <w:r w:rsidR="00653745">
                              <w:rPr>
                                <w:color w:val="000000"/>
                                <w:sz w:val="20"/>
                              </w:rPr>
                              <w:t>0</w:t>
                            </w:r>
                          </w:p>
                          <w:p w14:paraId="2467D761" w14:textId="3F8859A1" w:rsidR="00261EE4" w:rsidRDefault="00000000">
                            <w:pPr>
                              <w:spacing w:before="11"/>
                              <w:jc w:val="center"/>
                              <w:textDirection w:val="btLr"/>
                            </w:pPr>
                            <w:r>
                              <w:rPr>
                                <w:color w:val="000000"/>
                                <w:sz w:val="20"/>
                              </w:rPr>
                              <w:t xml:space="preserve">p-ISSN: </w:t>
                            </w:r>
                            <w:r w:rsidR="00856DB4">
                              <w:rPr>
                                <w:color w:val="0563C1"/>
                                <w:sz w:val="20"/>
                              </w:rPr>
                              <w:t>XXXX</w:t>
                            </w:r>
                            <w:r>
                              <w:rPr>
                                <w:color w:val="0563C1"/>
                                <w:sz w:val="20"/>
                              </w:rPr>
                              <w:t xml:space="preserve"> </w:t>
                            </w:r>
                            <w:r>
                              <w:rPr>
                                <w:color w:val="000000"/>
                                <w:sz w:val="20"/>
                              </w:rPr>
                              <w:t xml:space="preserve">e-ISSN: </w:t>
                            </w:r>
                            <w:r w:rsidR="00856DB4">
                              <w:rPr>
                                <w:color w:val="0563C1"/>
                                <w:sz w:val="20"/>
                              </w:rPr>
                              <w:t>XXXX</w:t>
                            </w:r>
                          </w:p>
                          <w:p w14:paraId="0626108D" w14:textId="68FD9B87" w:rsidR="001B6334" w:rsidRPr="00856DB4" w:rsidRDefault="00000000" w:rsidP="001B6334">
                            <w:pPr>
                              <w:jc w:val="center"/>
                              <w:textDirection w:val="btLr"/>
                              <w:rPr>
                                <w:rFonts w:ascii="Palatino Linotype" w:eastAsia="Palatino Linotype" w:hAnsi="Palatino Linotype" w:cs="Palatino Linotype"/>
                                <w:color w:val="0563C1"/>
                                <w:sz w:val="20"/>
                              </w:rPr>
                            </w:pPr>
                            <w:r>
                              <w:rPr>
                                <w:rFonts w:ascii="Palatino Linotype" w:eastAsia="Palatino Linotype" w:hAnsi="Palatino Linotype" w:cs="Palatino Linotype"/>
                                <w:color w:val="000000"/>
                                <w:sz w:val="20"/>
                              </w:rPr>
                              <w:t xml:space="preserve">Journal homepage: </w:t>
                            </w:r>
                            <w:r w:rsidR="001B6334" w:rsidRPr="001B6334">
                              <w:rPr>
                                <w:rFonts w:ascii="Palatino Linotype" w:eastAsia="Palatino Linotype" w:hAnsi="Palatino Linotype" w:cs="Palatino Linotype"/>
                                <w:color w:val="0563C1"/>
                                <w:sz w:val="20"/>
                              </w:rPr>
                              <w:t>https://athallahpublishing.com/index.php/jimi/index</w:t>
                            </w:r>
                          </w:p>
                          <w:p w14:paraId="72908148" w14:textId="77777777" w:rsidR="00856DB4" w:rsidRDefault="00856DB4">
                            <w:pPr>
                              <w:jc w:val="center"/>
                              <w:textDirection w:val="btLr"/>
                            </w:pPr>
                          </w:p>
                          <w:p w14:paraId="2A84F322" w14:textId="77777777" w:rsidR="00261EE4" w:rsidRDefault="00261EE4">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D551C09" id="Rectangle 2087487826" o:spid="_x0000_s1026" style="position:absolute;left:0;text-align:left;margin-left:64.5pt;margin-top:6.15pt;width:391.2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154rwEAAFADAAAOAAAAZHJzL2Uyb0RvYy54bWysU9uO2jAQfa+0/2D5fUmCYAsRYVV1RVVp&#10;1SJt+wHGsYmlxPbOGBL+vmOHAtu+rfbFmVuOz5wZrx6HrmVHBWicrXgxyTlTVrra2H3Ff//a3C84&#10;wyBsLVpnVcVPCvnj+u7TqvelmrrGtbUCRiAWy95XvAnBl1mGslGdwInzylJSO+hEIBf2WQ2iJ/Su&#10;zaZ5/pD1DmoPTipEij6NSb5O+ForGX5qjSqwtuLELaQT0rmLZ7ZeiXIPwjdGnmmId7DohLF06QXq&#10;SQTBDmD+g+qMBIdOh4l0Xea0NlKlHqibIv+nm5dGeJV6IXHQX2TCj4OVP44vfgskQ++xRDJjF4OG&#10;Ln6JHxuSWKeLWGoITFJwtnxYFtMlZ5Jyi8V8MZ1HNbPr3x4wfFOuY9GoONAwkkbi+IxhLP1bEi+z&#10;bmPaNg2ktW8ChBkj2ZVitMKwG868d64+bYGhlxtDdz0LDFsBNMiCs56GW3F8PQhQnLXfLam3LGbE&#10;loXkzOafc1oNuM3sbjPCysbRzsgAnI3O15B2aGT55RCcNqmjyGskc6ZLY0uanFcs7sWtn6quD2H9&#10;BwAA//8DAFBLAwQUAAYACAAAACEAiqz4st0AAAAKAQAADwAAAGRycy9kb3ducmV2LnhtbEyPQU/D&#10;MAyF70j8h8hIXBBLszG0lqYTIHHhxlZp16zx2orEqZp0K/8e7wQ3P/vp+XvldvZOnHGMfSANapGB&#10;QGqC7anVUO8/HjcgYjJkjQuEGn4wwra6vSlNYcOFvvC8S63gEIqF0dClNBRSxqZDb+IiDEh8O4XR&#10;m8RybKUdzYXDvZPLLHuW3vTEHzoz4HuHzfdu8hrCoT88RZef8pWq9/LtYco+a9T6/m5+fQGRcE5/&#10;ZrjiMzpUzHQME9koHOtlzl3SdViBYEOu1BrEkRdrtQFZlfJ/heoXAAD//wMAUEsBAi0AFAAGAAgA&#10;AAAhALaDOJL+AAAA4QEAABMAAAAAAAAAAAAAAAAAAAAAAFtDb250ZW50X1R5cGVzXS54bWxQSwEC&#10;LQAUAAYACAAAACEAOP0h/9YAAACUAQAACwAAAAAAAAAAAAAAAAAvAQAAX3JlbHMvLnJlbHNQSwEC&#10;LQAUAAYACAAAACEABFteeK8BAABQAwAADgAAAAAAAAAAAAAAAAAuAgAAZHJzL2Uyb0RvYy54bWxQ&#10;SwECLQAUAAYACAAAACEAiqz4st0AAAAKAQAADwAAAAAAAAAAAAAAAAAJBAAAZHJzL2Rvd25yZXYu&#10;eG1sUEsFBgAAAAAEAAQA8wAAABMFAAAAAA==&#10;" filled="f" stroked="f">
                <v:textbox inset="2.53958mm,1.2694mm,2.53958mm,1.2694mm">
                  <w:txbxContent>
                    <w:p w14:paraId="28A17E5C" w14:textId="3C30108C" w:rsidR="00856DB4" w:rsidRPr="001B6334" w:rsidRDefault="00680819" w:rsidP="00856DB4">
                      <w:pPr>
                        <w:jc w:val="center"/>
                        <w:textDirection w:val="btLr"/>
                        <w:rPr>
                          <w:rFonts w:ascii="Palatino Linotype" w:eastAsia="Palatino Linotype" w:hAnsi="Palatino Linotype" w:cs="Palatino Linotype"/>
                          <w:b/>
                          <w:bCs/>
                          <w:sz w:val="28"/>
                          <w:szCs w:val="28"/>
                        </w:rPr>
                      </w:pPr>
                      <w:r>
                        <w:rPr>
                          <w:rFonts w:ascii="Palatino Linotype" w:eastAsia="Palatino Linotype" w:hAnsi="Palatino Linotype" w:cs="Palatino Linotype"/>
                          <w:b/>
                          <w:sz w:val="28"/>
                          <w:szCs w:val="28"/>
                        </w:rPr>
                        <w:t>J</w:t>
                      </w:r>
                      <w:r w:rsidR="001B6334">
                        <w:rPr>
                          <w:rFonts w:ascii="Palatino Linotype" w:eastAsia="Palatino Linotype" w:hAnsi="Palatino Linotype" w:cs="Palatino Linotype"/>
                          <w:b/>
                          <w:sz w:val="28"/>
                          <w:szCs w:val="28"/>
                        </w:rPr>
                        <w:t>IMI</w:t>
                      </w:r>
                      <w:r w:rsidR="00FE4949" w:rsidRPr="005A465D">
                        <w:rPr>
                          <w:rFonts w:ascii="Palatino Linotype" w:eastAsia="Palatino Linotype" w:hAnsi="Palatino Linotype" w:cs="Palatino Linotype"/>
                          <w:b/>
                          <w:sz w:val="28"/>
                          <w:szCs w:val="28"/>
                        </w:rPr>
                        <w:t xml:space="preserve">: </w:t>
                      </w:r>
                      <w:r w:rsidR="001B6334" w:rsidRPr="001B6334">
                        <w:rPr>
                          <w:rFonts w:ascii="Palatino Linotype" w:eastAsia="Palatino Linotype" w:hAnsi="Palatino Linotype" w:cs="Palatino Linotype"/>
                          <w:b/>
                          <w:bCs/>
                          <w:sz w:val="28"/>
                          <w:szCs w:val="28"/>
                        </w:rPr>
                        <w:t>Jurnal Ilmiah Multidisiplin Indonesia</w:t>
                      </w:r>
                    </w:p>
                    <w:p w14:paraId="79394062" w14:textId="1F6499B3" w:rsidR="00261EE4" w:rsidRDefault="00000000" w:rsidP="00BB0ED9">
                      <w:pPr>
                        <w:spacing w:before="11"/>
                        <w:jc w:val="center"/>
                        <w:textDirection w:val="btLr"/>
                      </w:pPr>
                      <w:r>
                        <w:rPr>
                          <w:color w:val="000000"/>
                          <w:sz w:val="20"/>
                        </w:rPr>
                        <w:t>Vol</w:t>
                      </w:r>
                      <w:r w:rsidR="00BB0ED9">
                        <w:rPr>
                          <w:color w:val="000000"/>
                          <w:sz w:val="20"/>
                        </w:rPr>
                        <w:t xml:space="preserve"> 1</w:t>
                      </w:r>
                      <w:r>
                        <w:rPr>
                          <w:color w:val="000000"/>
                          <w:sz w:val="20"/>
                        </w:rPr>
                        <w:t xml:space="preserve">., No. </w:t>
                      </w:r>
                      <w:r w:rsidR="00BB0ED9">
                        <w:rPr>
                          <w:color w:val="000000"/>
                          <w:sz w:val="20"/>
                        </w:rPr>
                        <w:t>1</w:t>
                      </w:r>
                      <w:r>
                        <w:rPr>
                          <w:color w:val="000000"/>
                          <w:sz w:val="20"/>
                        </w:rPr>
                        <w:t xml:space="preserve">, </w:t>
                      </w:r>
                      <w:r w:rsidR="00BB0ED9">
                        <w:rPr>
                          <w:color w:val="000000"/>
                          <w:sz w:val="20"/>
                        </w:rPr>
                        <w:t>1</w:t>
                      </w:r>
                      <w:r w:rsidR="00653745">
                        <w:rPr>
                          <w:color w:val="000000"/>
                          <w:sz w:val="20"/>
                        </w:rPr>
                        <w:t>0</w:t>
                      </w:r>
                    </w:p>
                    <w:p w14:paraId="2467D761" w14:textId="3F8859A1" w:rsidR="00261EE4" w:rsidRDefault="00000000">
                      <w:pPr>
                        <w:spacing w:before="11"/>
                        <w:jc w:val="center"/>
                        <w:textDirection w:val="btLr"/>
                      </w:pPr>
                      <w:r>
                        <w:rPr>
                          <w:color w:val="000000"/>
                          <w:sz w:val="20"/>
                        </w:rPr>
                        <w:t xml:space="preserve">p-ISSN: </w:t>
                      </w:r>
                      <w:r w:rsidR="00856DB4">
                        <w:rPr>
                          <w:color w:val="0563C1"/>
                          <w:sz w:val="20"/>
                        </w:rPr>
                        <w:t>XXXX</w:t>
                      </w:r>
                      <w:r>
                        <w:rPr>
                          <w:color w:val="0563C1"/>
                          <w:sz w:val="20"/>
                        </w:rPr>
                        <w:t xml:space="preserve"> </w:t>
                      </w:r>
                      <w:r>
                        <w:rPr>
                          <w:color w:val="000000"/>
                          <w:sz w:val="20"/>
                        </w:rPr>
                        <w:t xml:space="preserve">e-ISSN: </w:t>
                      </w:r>
                      <w:r w:rsidR="00856DB4">
                        <w:rPr>
                          <w:color w:val="0563C1"/>
                          <w:sz w:val="20"/>
                        </w:rPr>
                        <w:t>XXXX</w:t>
                      </w:r>
                    </w:p>
                    <w:p w14:paraId="0626108D" w14:textId="68FD9B87" w:rsidR="001B6334" w:rsidRPr="00856DB4" w:rsidRDefault="00000000" w:rsidP="001B6334">
                      <w:pPr>
                        <w:jc w:val="center"/>
                        <w:textDirection w:val="btLr"/>
                        <w:rPr>
                          <w:rFonts w:ascii="Palatino Linotype" w:eastAsia="Palatino Linotype" w:hAnsi="Palatino Linotype" w:cs="Palatino Linotype"/>
                          <w:color w:val="0563C1"/>
                          <w:sz w:val="20"/>
                        </w:rPr>
                      </w:pPr>
                      <w:r>
                        <w:rPr>
                          <w:rFonts w:ascii="Palatino Linotype" w:eastAsia="Palatino Linotype" w:hAnsi="Palatino Linotype" w:cs="Palatino Linotype"/>
                          <w:color w:val="000000"/>
                          <w:sz w:val="20"/>
                        </w:rPr>
                        <w:t xml:space="preserve">Journal homepage: </w:t>
                      </w:r>
                      <w:r w:rsidR="001B6334" w:rsidRPr="001B6334">
                        <w:rPr>
                          <w:rFonts w:ascii="Palatino Linotype" w:eastAsia="Palatino Linotype" w:hAnsi="Palatino Linotype" w:cs="Palatino Linotype"/>
                          <w:color w:val="0563C1"/>
                          <w:sz w:val="20"/>
                        </w:rPr>
                        <w:t>https://athallahpublishing.com/index.php/jimi/index</w:t>
                      </w:r>
                    </w:p>
                    <w:p w14:paraId="72908148" w14:textId="77777777" w:rsidR="00856DB4" w:rsidRDefault="00856DB4">
                      <w:pPr>
                        <w:jc w:val="center"/>
                        <w:textDirection w:val="btLr"/>
                      </w:pPr>
                    </w:p>
                    <w:p w14:paraId="2A84F322" w14:textId="77777777" w:rsidR="00261EE4" w:rsidRDefault="00261EE4">
                      <w:pPr>
                        <w:jc w:val="center"/>
                        <w:textDirection w:val="btLr"/>
                      </w:pPr>
                    </w:p>
                  </w:txbxContent>
                </v:textbox>
              </v:rect>
            </w:pict>
          </mc:Fallback>
        </mc:AlternateContent>
      </w:r>
      <w:r w:rsidR="005A465D">
        <w:rPr>
          <w:noProof/>
        </w:rPr>
        <w:drawing>
          <wp:anchor distT="0" distB="0" distL="114300" distR="114300" simplePos="0" relativeHeight="251662336" behindDoc="0" locked="0" layoutInCell="1" hidden="0" allowOverlap="1" wp14:anchorId="2A749A49" wp14:editId="419C0FF5">
            <wp:simplePos x="0" y="0"/>
            <wp:positionH relativeFrom="column">
              <wp:posOffset>45085</wp:posOffset>
            </wp:positionH>
            <wp:positionV relativeFrom="paragraph">
              <wp:posOffset>1330325</wp:posOffset>
            </wp:positionV>
            <wp:extent cx="775970" cy="170180"/>
            <wp:effectExtent l="0" t="0" r="0" b="0"/>
            <wp:wrapSquare wrapText="bothSides" distT="0" distB="0" distL="114300" distR="114300"/>
            <wp:docPr id="20874878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75970" cy="170180"/>
                    </a:xfrm>
                    <a:prstGeom prst="rect">
                      <a:avLst/>
                    </a:prstGeom>
                    <a:ln/>
                  </pic:spPr>
                </pic:pic>
              </a:graphicData>
            </a:graphic>
          </wp:anchor>
        </w:drawing>
      </w:r>
    </w:p>
    <w:p w14:paraId="30941F56" w14:textId="77777777" w:rsidR="001B6334" w:rsidRDefault="001B6334" w:rsidP="001B6334">
      <w:pPr>
        <w:textDirection w:val="btLr"/>
      </w:pPr>
    </w:p>
    <w:p w14:paraId="7128F20E" w14:textId="6F2F83EE" w:rsidR="00BB0ED9" w:rsidRPr="001B6334" w:rsidRDefault="00BB0ED9" w:rsidP="001B6334">
      <w:pPr>
        <w:textDirection w:val="btLr"/>
        <w:rPr>
          <w:rFonts w:ascii="Palatino Linotype" w:eastAsia="Palatino Linotype" w:hAnsi="Palatino Linotype" w:cs="Palatino Linotype"/>
          <w:b/>
          <w:bCs/>
          <w:sz w:val="28"/>
          <w:szCs w:val="28"/>
        </w:rPr>
      </w:pPr>
      <w:r w:rsidRPr="00BB0ED9">
        <w:rPr>
          <w:rFonts w:ascii="Palatino Linotype" w:eastAsia="Palatino Linotype" w:hAnsi="Palatino Linotype" w:cs="Palatino Linotype"/>
          <w:b/>
          <w:bCs/>
          <w:sz w:val="28"/>
          <w:szCs w:val="28"/>
        </w:rPr>
        <w:t>Macroeconomic Factors and Dividend Policy: Their Impact on Stock Prices in East Java’s Infrastructure and Transportation Sector</w:t>
      </w:r>
    </w:p>
    <w:p w14:paraId="7C70556A" w14:textId="401FEEFC" w:rsidR="00261EE4" w:rsidRDefault="00BB0ED9">
      <w:pPr>
        <w:spacing w:before="240" w:after="120"/>
        <w:rPr>
          <w:rFonts w:ascii="Book Antiqua" w:eastAsia="Book Antiqua" w:hAnsi="Book Antiqua" w:cs="Book Antiqua"/>
        </w:rPr>
      </w:pPr>
      <w:r>
        <w:rPr>
          <w:rFonts w:ascii="Book Antiqua" w:eastAsia="Book Antiqua" w:hAnsi="Book Antiqua" w:cs="Book Antiqua"/>
        </w:rPr>
        <w:t>M. Zidny Nafi’ Hasbi</w:t>
      </w:r>
    </w:p>
    <w:p w14:paraId="7C89ACC7" w14:textId="398B130D" w:rsidR="00261EE4" w:rsidRDefault="002E2900">
      <w:pPr>
        <w:spacing w:before="120"/>
        <w:rPr>
          <w:rFonts w:ascii="Palatino Linotype" w:eastAsia="Palatino Linotype" w:hAnsi="Palatino Linotype" w:cs="Palatino Linotype"/>
          <w:sz w:val="20"/>
          <w:szCs w:val="20"/>
        </w:rPr>
      </w:pPr>
      <w:bookmarkStart w:id="0" w:name="bookmark=id.gjdgxs" w:colFirst="0" w:colLast="0"/>
      <w:bookmarkEnd w:id="0"/>
      <w:r>
        <w:rPr>
          <w:rFonts w:ascii="Palatino Linotype" w:eastAsia="Palatino Linotype" w:hAnsi="Palatino Linotype" w:cs="Palatino Linotype"/>
          <w:sz w:val="20"/>
          <w:szCs w:val="20"/>
        </w:rPr>
        <w:t>INISNU Temanggung</w:t>
      </w:r>
    </w:p>
    <w:p w14:paraId="39D7A9DF" w14:textId="23A35503" w:rsidR="00261EE4" w:rsidRDefault="00000000">
      <w:pPr>
        <w:spacing w:line="360" w:lineRule="auto"/>
        <w:jc w:val="both"/>
        <w:rPr>
          <w:rFonts w:ascii="Palatino Linotype" w:eastAsia="Palatino Linotype" w:hAnsi="Palatino Linotype" w:cs="Palatino Linotype"/>
          <w:sz w:val="18"/>
          <w:szCs w:val="18"/>
        </w:rPr>
      </w:pPr>
      <w:bookmarkStart w:id="1" w:name="bookmark=id.2et92p0" w:colFirst="0" w:colLast="0"/>
      <w:bookmarkEnd w:id="1"/>
      <w:r>
        <w:rPr>
          <w:rFonts w:ascii="Palatino Linotype" w:eastAsia="Palatino Linotype" w:hAnsi="Palatino Linotype" w:cs="Palatino Linotype"/>
          <w:sz w:val="18"/>
          <w:szCs w:val="18"/>
        </w:rPr>
        <w:t>*Corresponding author</w:t>
      </w:r>
      <w:r w:rsidR="002E2900">
        <w:rPr>
          <w:rFonts w:ascii="Palatino Linotype" w:eastAsia="Palatino Linotype" w:hAnsi="Palatino Linotype" w:cs="Palatino Linotype"/>
          <w:sz w:val="18"/>
          <w:szCs w:val="18"/>
        </w:rPr>
        <w:t>:</w:t>
      </w:r>
    </w:p>
    <w:tbl>
      <w:tblPr>
        <w:tblStyle w:val="a"/>
        <w:tblW w:w="884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694"/>
        <w:gridCol w:w="141"/>
        <w:gridCol w:w="6010"/>
      </w:tblGrid>
      <w:tr w:rsidR="00261EE4" w14:paraId="2060B5EE" w14:textId="77777777" w:rsidTr="002E2900">
        <w:trPr>
          <w:trHeight w:val="403"/>
        </w:trPr>
        <w:tc>
          <w:tcPr>
            <w:tcW w:w="2694" w:type="dxa"/>
            <w:vAlign w:val="center"/>
          </w:tcPr>
          <w:p w14:paraId="219C9B77" w14:textId="77777777" w:rsidR="00261EE4" w:rsidRDefault="0000000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ARTICLE INFO</w:t>
            </w:r>
          </w:p>
        </w:tc>
        <w:tc>
          <w:tcPr>
            <w:tcW w:w="141" w:type="dxa"/>
            <w:vAlign w:val="center"/>
          </w:tcPr>
          <w:p w14:paraId="1004FAB3" w14:textId="77777777" w:rsidR="00261EE4" w:rsidRDefault="00261EE4">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p>
        </w:tc>
        <w:tc>
          <w:tcPr>
            <w:tcW w:w="6010" w:type="dxa"/>
            <w:vAlign w:val="center"/>
          </w:tcPr>
          <w:p w14:paraId="2A127008" w14:textId="77777777" w:rsidR="00261EE4" w:rsidRDefault="0000000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ABSTRACT</w:t>
            </w:r>
          </w:p>
        </w:tc>
      </w:tr>
      <w:tr w:rsidR="00261EE4" w14:paraId="0F43414B" w14:textId="77777777" w:rsidTr="002E2900">
        <w:trPr>
          <w:trHeight w:val="6430"/>
        </w:trPr>
        <w:tc>
          <w:tcPr>
            <w:tcW w:w="2694" w:type="dxa"/>
          </w:tcPr>
          <w:p w14:paraId="393028D4" w14:textId="77777777" w:rsidR="00261EE4" w:rsidRDefault="00000000">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Keywords</w:t>
            </w:r>
          </w:p>
          <w:p w14:paraId="5FAAB57D" w14:textId="77777777" w:rsidR="002E2900" w:rsidRPr="008F7AE7" w:rsidRDefault="002E2900" w:rsidP="002E2900">
            <w:pPr>
              <w:rPr>
                <w:rFonts w:ascii="Palatino Linotype" w:eastAsia="Palatino Linotype" w:hAnsi="Palatino Linotype" w:cs="Palatino Linotype"/>
                <w:i/>
                <w:sz w:val="20"/>
                <w:szCs w:val="20"/>
              </w:rPr>
            </w:pPr>
            <w:r w:rsidRPr="008F7AE7">
              <w:rPr>
                <w:rFonts w:ascii="Garamond" w:eastAsia="Calibri" w:hAnsi="Garamond" w:cs="Naskhi"/>
                <w:bCs/>
                <w:i/>
                <w:lang w:val="en-US"/>
              </w:rPr>
              <w:t>Inflation, Interest Rate, Dividend Policy, Stock Price</w:t>
            </w:r>
          </w:p>
          <w:p w14:paraId="330172B9" w14:textId="77777777" w:rsidR="002E2900" w:rsidRPr="008F7AE7" w:rsidRDefault="002E2900" w:rsidP="002E2900">
            <w:pPr>
              <w:rPr>
                <w:rFonts w:ascii="Palatino Linotype" w:eastAsia="Palatino Linotype" w:hAnsi="Palatino Linotype" w:cs="Palatino Linotype"/>
                <w:sz w:val="20"/>
                <w:szCs w:val="20"/>
                <w:lang w:val="en-US"/>
              </w:rPr>
            </w:pPr>
          </w:p>
          <w:p w14:paraId="64D2A0E0" w14:textId="77777777" w:rsidR="00261EE4" w:rsidRPr="002E2900" w:rsidRDefault="00261EE4">
            <w:pPr>
              <w:rPr>
                <w:rFonts w:ascii="Palatino Linotype" w:eastAsia="Palatino Linotype" w:hAnsi="Palatino Linotype" w:cs="Palatino Linotype"/>
                <w:sz w:val="20"/>
                <w:szCs w:val="20"/>
                <w:lang w:val="en-US"/>
              </w:rPr>
            </w:pPr>
          </w:p>
          <w:p w14:paraId="7610DA4D" w14:textId="77777777" w:rsidR="00261EE4" w:rsidRDefault="00261EE4" w:rsidP="00BB0ED9">
            <w:pPr>
              <w:rPr>
                <w:rFonts w:ascii="Palatino Linotype" w:eastAsia="Palatino Linotype" w:hAnsi="Palatino Linotype" w:cs="Palatino Linotype"/>
                <w:sz w:val="18"/>
                <w:szCs w:val="18"/>
              </w:rPr>
            </w:pPr>
          </w:p>
        </w:tc>
        <w:tc>
          <w:tcPr>
            <w:tcW w:w="141" w:type="dxa"/>
          </w:tcPr>
          <w:p w14:paraId="7F93B820" w14:textId="77777777" w:rsidR="00261EE4" w:rsidRDefault="00261EE4">
            <w:pPr>
              <w:rPr>
                <w:i/>
                <w:sz w:val="20"/>
                <w:szCs w:val="20"/>
              </w:rPr>
            </w:pPr>
          </w:p>
        </w:tc>
        <w:tc>
          <w:tcPr>
            <w:tcW w:w="6010" w:type="dxa"/>
          </w:tcPr>
          <w:p w14:paraId="62955D34" w14:textId="6EB784D3" w:rsidR="002E2900" w:rsidRDefault="002E2900" w:rsidP="002E2900">
            <w:pPr>
              <w:spacing w:after="200"/>
              <w:ind w:right="-57"/>
              <w:jc w:val="both"/>
              <w:rPr>
                <w:rFonts w:ascii="Palatino Linotype" w:eastAsia="Palatino Linotype" w:hAnsi="Palatino Linotype" w:cs="Palatino Linotype"/>
                <w:sz w:val="20"/>
                <w:szCs w:val="20"/>
              </w:rPr>
            </w:pPr>
            <w:r w:rsidRPr="00FD701F">
              <w:rPr>
                <w:rFonts w:ascii="Palatino Linotype" w:eastAsia="Palatino Linotype" w:hAnsi="Palatino Linotype" w:cs="Palatino Linotype"/>
                <w:sz w:val="20"/>
                <w:szCs w:val="20"/>
              </w:rPr>
              <w:t>Infrastructure and transportation companies experienced a decline in stock prices a few years ago. This can be triggered by inflation, interest rates, and the company's dividend policy. Inflation and interest rates that change every year and dividend policy which is a measurement of profits earned by companies. The purpose of this study was to look at how inflation, interest rates, and dividend policies affect a company's share price. This research involves all companies in the field of infrastructure and transportation, the sampling criteria are as follows: companies listed in the foam securities from 2020-2024, companies uploading financial statements in 2020-2024, and companies that regularly distribute dividends in 2020-2024. 12 companies were selected through purposive sampling. This study was descriptive and quantitative and analyzed using several tests: normality, multicollinearity, heteroscedasticity, autocorrelation, linear regression, and T (Partial) test. The data was processed with the SPSS 24 analysis tool. The results showed that if inflation does not affect stock prices as indicated by the t-test, then the inflation value is 0.561 &gt; 0.05. The interest rate has no effect on the stock price, as evidenced by the T-test obtained an interest rate value of 0.278 &gt; 0.05. Dividend policy affects stock price, as seen in the T-test of the SIG value of dividend policy of 0.004 &lt; 0.05.</w:t>
            </w:r>
          </w:p>
          <w:p w14:paraId="167C0F0F" w14:textId="77777777" w:rsidR="00261EE4" w:rsidRDefault="00000000">
            <w:pPr>
              <w:ind w:right="-59"/>
              <w:jc w:val="right"/>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Copyright © 2025 Authors</w:t>
            </w:r>
          </w:p>
          <w:p w14:paraId="305A6F4B" w14:textId="1FE9C54E" w:rsidR="00261EE4" w:rsidRDefault="00000000">
            <w:pPr>
              <w:ind w:right="-59"/>
              <w:jc w:val="right"/>
              <w:rPr>
                <w:rFonts w:ascii="Palatino Linotype" w:eastAsia="Palatino Linotype" w:hAnsi="Palatino Linotype" w:cs="Palatino Linotype"/>
                <w:sz w:val="20"/>
                <w:szCs w:val="20"/>
              </w:rPr>
            </w:pPr>
            <w:r>
              <w:rPr>
                <w:rFonts w:ascii="Palatino Linotype" w:eastAsia="Palatino Linotype" w:hAnsi="Palatino Linotype" w:cs="Palatino Linotype"/>
                <w:sz w:val="18"/>
                <w:szCs w:val="18"/>
              </w:rPr>
              <w:t xml:space="preserve">This is an open access article under </w:t>
            </w:r>
            <w:hyperlink r:id="rId10">
              <w:r w:rsidR="00261EE4">
                <w:rPr>
                  <w:rFonts w:ascii="Palatino Linotype" w:eastAsia="Palatino Linotype" w:hAnsi="Palatino Linotype" w:cs="Palatino Linotype"/>
                  <w:color w:val="0563C1"/>
                  <w:sz w:val="18"/>
                  <w:szCs w:val="18"/>
                </w:rPr>
                <w:t>CC-BY 4.0</w:t>
              </w:r>
            </w:hyperlink>
            <w:r>
              <w:rPr>
                <w:rFonts w:ascii="Palatino Linotype" w:eastAsia="Palatino Linotype" w:hAnsi="Palatino Linotype" w:cs="Palatino Linotype"/>
                <w:sz w:val="18"/>
                <w:szCs w:val="18"/>
              </w:rPr>
              <w:t xml:space="preserve"> license</w:t>
            </w:r>
          </w:p>
          <w:p w14:paraId="186C569B" w14:textId="4042F456" w:rsidR="00261EE4" w:rsidRDefault="00FE4949">
            <w:pPr>
              <w:spacing w:line="276" w:lineRule="auto"/>
              <w:ind w:right="-48"/>
              <w:jc w:val="right"/>
              <w:rPr>
                <w:rFonts w:ascii="Palatino Linotype" w:eastAsia="Palatino Linotype" w:hAnsi="Palatino Linotype" w:cs="Palatino Linotype"/>
                <w:sz w:val="20"/>
                <w:szCs w:val="20"/>
              </w:rPr>
            </w:pPr>
            <w:r>
              <w:rPr>
                <w:noProof/>
              </w:rPr>
              <w:drawing>
                <wp:inline distT="0" distB="0" distL="0" distR="0" wp14:anchorId="35B73E2C" wp14:editId="0D2785C1">
                  <wp:extent cx="838200" cy="295275"/>
                  <wp:effectExtent l="0" t="0" r="0" b="9525"/>
                  <wp:docPr id="8335582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325CE879" w14:textId="77777777" w:rsidR="002644B4" w:rsidRDefault="002644B4">
      <w:pPr>
        <w:spacing w:before="360" w:after="120"/>
        <w:jc w:val="both"/>
        <w:rPr>
          <w:rFonts w:ascii="Palatino Linotype" w:eastAsia="Palatino Linotype" w:hAnsi="Palatino Linotype" w:cs="Palatino Linotype"/>
          <w:b/>
        </w:rPr>
      </w:pPr>
    </w:p>
    <w:p w14:paraId="46F49149" w14:textId="77777777" w:rsidR="002644B4" w:rsidRDefault="002644B4">
      <w:pPr>
        <w:spacing w:before="360" w:after="120"/>
        <w:jc w:val="both"/>
        <w:rPr>
          <w:rFonts w:ascii="Palatino Linotype" w:eastAsia="Palatino Linotype" w:hAnsi="Palatino Linotype" w:cs="Palatino Linotype"/>
          <w:b/>
        </w:rPr>
      </w:pPr>
    </w:p>
    <w:p w14:paraId="222C8A94" w14:textId="314F36C2" w:rsidR="00261EE4" w:rsidRDefault="00000000">
      <w:pPr>
        <w:spacing w:before="360" w:after="120"/>
        <w:jc w:val="both"/>
        <w:rPr>
          <w:rFonts w:ascii="Palatino Linotype" w:eastAsia="Palatino Linotype" w:hAnsi="Palatino Linotype" w:cs="Palatino Linotype"/>
          <w:b/>
        </w:rPr>
      </w:pPr>
      <w:r>
        <w:rPr>
          <w:rFonts w:ascii="Palatino Linotype" w:eastAsia="Palatino Linotype" w:hAnsi="Palatino Linotype" w:cs="Palatino Linotype"/>
          <w:b/>
        </w:rPr>
        <w:lastRenderedPageBreak/>
        <w:t>Introduction</w:t>
      </w:r>
      <w:bookmarkStart w:id="2" w:name="bookmark=id.tyjcwt" w:colFirst="0" w:colLast="0"/>
      <w:bookmarkEnd w:id="2"/>
    </w:p>
    <w:p w14:paraId="6F5C3F9F" w14:textId="77777777" w:rsidR="002E2900" w:rsidRPr="000774C7" w:rsidRDefault="002E2900" w:rsidP="002E2900">
      <w:pPr>
        <w:pBdr>
          <w:top w:val="nil"/>
          <w:left w:val="nil"/>
          <w:bottom w:val="nil"/>
          <w:right w:val="nil"/>
          <w:between w:val="nil"/>
        </w:pBdr>
        <w:ind w:firstLine="567"/>
        <w:jc w:val="both"/>
        <w:rPr>
          <w:rFonts w:ascii="Palatino Linotype" w:eastAsia="Palatino Linotype" w:hAnsi="Palatino Linotype" w:cs="Palatino Linotype"/>
          <w:color w:val="000000"/>
        </w:rPr>
      </w:pPr>
      <w:r w:rsidRPr="000774C7">
        <w:rPr>
          <w:rFonts w:ascii="Palatino Linotype" w:hAnsi="Palatino Linotype"/>
          <w:noProof/>
        </w:rPr>
        <w:t xml:space="preserve">a decline in stock indexes. According to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{"citationItems":[{"id":"ITEM-1","itemData":{"abstract":"This study aims to analyze the effect of inflation variables, interest rates, exchange rates, and the money supply on the Composite Stock Price Index (CSPI) in companies listed on the Indonesia Stock Exchange for the 2017-2019 period. This research is a quantitative research with a causal approach. This study takes all data time series including inflation, interest rate, exchange rate, the money supply and the Echo Stock Price Index (CSPI) for the period 2017 to 2019. The data analysis used is multiple linear regression analysis using SPSS 25. The results showed that inflation, interest rates, exchange rates and money supply simultaneously affected the Stock Price Index (CSPI) listed on the Indonesia Stock Exchange in 2017-2019. Partially, inflation and money supply have a significant effect on the Stock Price Index (CSPI), the interest rate and exchange rate variables have an insignificant effect on the Stock Price Index (CSPI), and the money supply variable has a dominant influence on the Price Index Joint Stock (CSPI).","author":[{"dropping-particle":"","family":"Priyanto","given":"Nova","non-dropping-particle":"","parse-names":false,"suffix":""}],"container-title":"Juma","id":"ITEM-1","issue":"1","issued":{"date-parts":[["2022"]]},"page":"14411-464","title":"Analisis Pengaruh Inflasi, Suku Bunga, Nilai Tukar dan Jumlah Uang Beredar terhadap Indeks Harga Saham Gabungan (Ihsg) pada Perusahaan yang Terdaftar di Bursa Efek Indonesia Periode 2017-2019","type":"article-journal","volume":"23"},"uris":["http://www.mendeley.com/documents/?uuid=a19d1b31-fb16-481e-9e28-b91db5661f29","http://www.mendeley.com/documents/?uuid=7e86036c-8b36-4d45-831d-d8a903454e24"]}],"mendeley":{"formattedCitation":"(Priyanto, 2022)","plainTextFormattedCitation":"(Priyanto, 2022)","previouslyFormattedCitation":"(Priyanto, 2022)"},"properties":{"noteIndex":0},"schema":"https://github.com/citation-style-language/schema/raw/master/csl-citation.json"}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Priyanto, (2022)</w:t>
      </w:r>
      <w:r w:rsidRPr="000774C7">
        <w:rPr>
          <w:rFonts w:ascii="Palatino Linotype" w:hAnsi="Palatino Linotype"/>
          <w:noProof/>
        </w:rPr>
        <w:fldChar w:fldCharType="end"/>
      </w:r>
      <w:r w:rsidRPr="000774C7">
        <w:rPr>
          <w:rFonts w:ascii="Palatino Linotype" w:hAnsi="Palatino Linotype"/>
          <w:noProof/>
        </w:rPr>
        <w:t xml:space="preserve"> The fact that the share price of a company can increase or decrease can also be seen through phenomena in a country. The above statement shows that a company's share price can be assessed and analyzed based on what is happening in a country. Inflation and interest rates are things that must be experienced by a country, related to the ups and downs of inflation and interest rates can have an impact on the country itself, especially on the price of goods or services.  Many factors, both internal and external, affect the stock price of a company. The corporate environment affects internal factors, while market information such as interest rates, supply and demand laws, news and rumors, stock price indices, and currencies are external factors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{"citationItems":[{"id":"ITEM-1","itemData":{"DOI":"10.15548/al-masraf.v6i2.475","ISSN":"2528-5629","abstract":"… inflasi dan suku bunga. Penelitian ini bertujuan untuk mengetahui pengaruh inflasi dan suku bunga … sub sektor transportasi dan logistik pada masa pandemi Covid-19 yang terdaftar di …","author":[{"dropping-particle":"","family":"RASYAD","given":"FAZNIL HUSNA S.","non-dropping-particle":"","parse-names":false,"suffix":""},{"dropping-particle":"","family":"AGHSILNI","given":"AGHSILNI","non-dropping-particle":"","parse-names":false,"suffix":""},{"dropping-particle":"","family":"WISANGGARA","given":"RANGGA","non-dropping-particle":"","parse-names":false,"suffix":""}],"container-title":"Al-Masraf: Jurnal Lembaga Keuangan dan Perbankan","id":"ITEM-1","issue":"2","issued":{"date-parts":[["2021"]]},"page":"124","title":"Pengaruh Inflasi Dan Tingkat Suku Bunga Terhadap Harga Saham Perusahaan Pada Masa Pandemi Covid-19","type":"article-journal","volume":"6"},"uris":["http://www.mendeley.com/documents/?uuid=9431855c-255b-40a7-8d23-90ac1aa4148c","http://www.mendeley.com/documents/?uuid=40b7aa02-959c-4764-9897-08de2d9eaab3"]}],"mendeley":{"formattedCitation":"(RASYAD et al., 2021)","manualFormatting":"(Rashad et al., 2021)","plainTextFormattedCitation":"(RASYAD et al., 2021)","previouslyFormattedCitation":"(RASYAD et al., 2021)"},"properties":{"noteIndex":0},"schema":"https://github.com/citation-style-language/schema/raw/master/csl-citation.json"}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(Rashad et al., 2021)</w:t>
      </w:r>
      <w:r w:rsidRPr="000774C7">
        <w:rPr>
          <w:rFonts w:ascii="Palatino Linotype" w:hAnsi="Palatino Linotype"/>
          <w:noProof/>
        </w:rPr>
        <w:fldChar w:fldCharType="end"/>
      </w:r>
      <w:r w:rsidRPr="000774C7">
        <w:rPr>
          <w:rFonts w:ascii="Palatino Linotype" w:hAnsi="Palatino Linotype"/>
          <w:noProof/>
        </w:rPr>
        <w:t xml:space="preserve">. </w:t>
      </w:r>
      <w:r w:rsidRPr="000774C7">
        <w:rPr>
          <w:rFonts w:ascii="Palatino Linotype" w:hAnsi="Palatino Linotype"/>
        </w:rPr>
        <w:t xml:space="preserve">According to </w:t>
      </w:r>
      <w:r w:rsidRPr="000774C7">
        <w:rPr>
          <w:rFonts w:ascii="Palatino Linotype" w:hAnsi="Palatino Linotype"/>
        </w:rPr>
        <w:fldChar w:fldCharType="begin" w:fldLock="1"/>
      </w:r>
      <w:r w:rsidRPr="000774C7">
        <w:rPr>
          <w:rFonts w:ascii="Palatino Linotype" w:hAnsi="Palatino Linotype"/>
        </w:rPr>
        <w:instrText>ADDIN CSL_CITATION {"citationItems":[{"id":"ITEM-1","itemData":{"DOI":"10.22437/jdm.v8i2.16868","ISSN":"2338-123X","abstract":"This study aims to examine the effect of the interest rate of Bank Indonesia and the exchange rate on the stock prices of the coal industry listed on the Indonesian securities exchange for 2014-2017period empirically. Data used in this study are multiple linear analyses and hypotheses. The independent variable is the interest rate of Bank Indonesia. The dependent variable is exchange rates at the coal mining industry stock price for 2014-2017. Data used in this study are secondary data obtained from the Indonesian stock exchange (IDX). The testing of the hypothesis in this study was tested using SPSS 23. The results showed that the interest rate of Indonesian banks had an effect of 18.75% and an effective exchange rate of44.22%, with a significant negative impact on the share price of the coal mining industry listed on the Indonesian stock exchange in 2014- 2017.","author":[{"dropping-particle":"","family":"Ahfazhi","given":"Ahfazhi","non-dropping-particle":"","parse-names":false,"suffix":""},{"dropping-particle":"","family":"Fitriaty","given":"Fitriaty","non-dropping-particle":"","parse-names":false,"suffix":""},{"dropping-particle":"","family":"Lubis","given":"Tona Aurora","non-dropping-particle":"","parse-names":false,"suffix":""}],"container-title":"Jurnal Dinamika Manajemen","id":"ITEM-1","issue":"2","issued":{"date-parts":[["2020"]]},"page":"59-72","title":"Pengaruh tingkat suku bunga dan kurs terhadap harga saham industri pertambangan batubara di Bursa Efek Indonesia periode 2014-2017","type":"article-journal","volume":"8"},"uris":["http://www.mendeley.com/documents/?uuid=ce61808d-d7a1-4567-9d71-a0fc47a13067","http://www.mendeley.com/documents/?uuid=6e7362ef-3976-4511-ae8a-1d9bdfb7eae2"]}],"mendeley":{"formattedCitation":"(Ahfazhi et al., 2020)","plainTextFormattedCitation":"(Ahfazhi et al., 2020)","previouslyFormattedCitation":"(Ahfazhi et al., 2020)"},"properties":{"noteIndex":0},"schema":"https://github.com/citation-style-language/schema/raw/master/csl-citation.json"}</w:instrText>
      </w:r>
      <w:r w:rsidRPr="000774C7">
        <w:rPr>
          <w:rFonts w:ascii="Palatino Linotype" w:hAnsi="Palatino Linotype"/>
        </w:rPr>
        <w:fldChar w:fldCharType="separate"/>
      </w:r>
      <w:r w:rsidRPr="000774C7">
        <w:rPr>
          <w:rFonts w:ascii="Palatino Linotype" w:hAnsi="Palatino Linotype"/>
          <w:noProof/>
        </w:rPr>
        <w:t>Ahfazhi et al., (2020)</w:t>
      </w:r>
      <w:r w:rsidRPr="000774C7">
        <w:rPr>
          <w:rFonts w:ascii="Palatino Linotype" w:hAnsi="Palatino Linotype"/>
        </w:rPr>
        <w:fldChar w:fldCharType="end"/>
      </w:r>
      <w:r w:rsidRPr="000774C7">
        <w:rPr>
          <w:rFonts w:ascii="Palatino Linotype" w:hAnsi="Palatino Linotype"/>
        </w:rPr>
        <w:t xml:space="preserve"> Empirically, it has been proven that macroeconomic components influence investment growth in several countries. Some macroeconomic factors that affect investment in a country include the level of Gross Domestic Product (GDP), inflation growth rate, interest rate, and exchange rate.</w:t>
      </w:r>
    </w:p>
    <w:p w14:paraId="41019A0B" w14:textId="597D6785" w:rsidR="009D7BB6" w:rsidRPr="000774C7" w:rsidRDefault="002E2900" w:rsidP="009D7BB6">
      <w:pPr>
        <w:ind w:firstLine="567"/>
        <w:jc w:val="both"/>
        <w:rPr>
          <w:rFonts w:ascii="Palatino Linotype" w:hAnsi="Palatino Linotype"/>
          <w:noProof/>
        </w:rPr>
      </w:pPr>
      <w:r w:rsidRPr="000774C7">
        <w:rPr>
          <w:rFonts w:ascii="Palatino Linotype" w:hAnsi="Palatino Linotype"/>
        </w:rPr>
        <w:t xml:space="preserve"> </w:t>
      </w:r>
      <w:r w:rsidRPr="000774C7">
        <w:rPr>
          <w:rFonts w:ascii="Palatino Linotype" w:hAnsi="Palatino Linotype"/>
          <w:noProof/>
        </w:rPr>
        <w:t xml:space="preserve">One external factor that can affect stock prices is inflation, which occurs when prices rise gradually. If inflation is high and unstable, the risk of investing in financial assets may increase. According to Statistics (BPS), the Consumer Price Index (CPI) in August 2023 recorded deflation of 0.02% (mtm), the impact of inflation of 3.27% in a year. From this development, inflation estimates according to Bank Indonesia remain at 3.1% at the end of 2023 and in 2024 around 2.51%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{"citationItems":[{"id":"ITEM-1","itemData":{"author":[{"dropping-particle":"","family":"Statistik)","given":"BPS (badan puusat","non-dropping-particle":"","parse-names":false,"suffix":""}],"id":"ITEM-1","issued":{"date-parts":[["2023"]]},"title":"Inflasi bulan agustus 2023 tetap terjaga","type":"webpage"},"uris":["http://www.mendeley.com/documents/?uuid=b45fdcae-98d0-4fda-8da3-b22bdf2abf07","http://www.mendeley.com/documents/?uuid=7ba696f7-0566-4bce-aadb-8d0a26673f7f"]}],"mendeley":{"formattedCitation":"(Statistik), 2023)","manualFormatting":"(Statistics), 2023)","plainTextFormattedCitation":"(Statistik), 2023)","previouslyFormattedCitation":"(Statistik),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(Statistics), 2023)</w:t>
      </w:r>
      <w:r w:rsidRPr="000774C7">
        <w:rPr>
          <w:rFonts w:ascii="Palatino Linotype" w:hAnsi="Palatino Linotype"/>
          <w:noProof/>
        </w:rPr>
        <w:fldChar w:fldCharType="end"/>
      </w:r>
      <w:r w:rsidRPr="000774C7">
        <w:rPr>
          <w:rFonts w:ascii="Palatino Linotype" w:hAnsi="Palatino Linotype"/>
          <w:noProof/>
        </w:rPr>
        <w:t xml:space="preserve">. </w:t>
      </w:r>
    </w:p>
    <w:p w14:paraId="7254AF2F" w14:textId="1166DFCA" w:rsidR="002E2900" w:rsidRPr="000774C7" w:rsidRDefault="002E2900" w:rsidP="002E2900">
      <w:pPr>
        <w:ind w:firstLine="567"/>
        <w:jc w:val="both"/>
        <w:rPr>
          <w:rFonts w:ascii="Palatino Linotype" w:hAnsi="Palatino Linotype"/>
          <w:noProof/>
        </w:rPr>
      </w:pPr>
      <w:r w:rsidRPr="000774C7">
        <w:rPr>
          <w:rFonts w:ascii="Palatino Linotype" w:hAnsi="Palatino Linotype"/>
          <w:noProof/>
        </w:rPr>
        <w:t xml:space="preserve">The ruling is a monetary policy in controlling inflation. (BI (Bank Indonesia, 2023). To maintain stability and promote sustainable economic growth, efforts continue to strengthen the combination of monetary, macroprudential, and payment system policies of the Bank. The bank interest rate is a percentage of the principal per unit of time and is calculated as compensation from the bank for customers who make transactions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{"citationItems":[{"id":"ITEM-1","itemData":{"abstract":"This study aims to examine the determinants of factors influencing the management of earnings management practices in Islamic banks in Indonesia. The factors affecting earnings management are reflected in the Camel Ratio in the form of capital adequacy, return on assets, return on equity and financing to deposit ratio. The population in this study are all Islamic commercial banks in Indonesia, with a sample of 60 companies. The data analysis technique used in this research is multiple linear regression. The results of this study indicate that CAR, RORA, ROE have no significant effect on earnings management, then the FDR variable has a significant effect on earnings management and furthermore, together the variables CAR, RORA, ROE and FDR have an influence on earnings management at banks. general sharia in Indonesia.","author":[{"dropping-particle":"","family":"Fitriani Saragih","given":"Rahmad Daim Harahap &amp; Saparuddin Siregar","non-dropping-particle":"","parse-names":false,"suffix":""}],"container-title":"Jurnal Riset Akuntansi dan Bisnis","id":"ITEM-1","issue":"2","issued":{"date-parts":[["2023"]]},"page":"73-81","title":"Jurnal Riset Akuntansi dan Bisnis Jurnal Riset Akuntansi dan Bisnis","type":"article-journal","volume":"23"},"uris":["http://www.mendeley.com/documents/?uuid=b44cde60-043b-41c4-b478-bc6fcded26ee","http://www.mendeley.com/documents/?uuid=b957048e-24be-40ba-9300-faea89542c99"]}],"mendeley":{"formattedCitation":"(Fitriani Saragih, 2023)","plainTextFormattedCitation":"(Fitriani Saragih, 2023)","previouslyFormattedCitation":"(Fitriani Saragih,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(Fitriani Saragih, 2023)</w:t>
      </w:r>
      <w:r w:rsidRPr="000774C7">
        <w:rPr>
          <w:rFonts w:ascii="Palatino Linotype" w:hAnsi="Palatino Linotype"/>
          <w:noProof/>
        </w:rPr>
        <w:fldChar w:fldCharType="end"/>
      </w:r>
      <w:r w:rsidRPr="000774C7">
        <w:rPr>
          <w:rFonts w:ascii="Palatino Linotype" w:hAnsi="Palatino Linotype"/>
          <w:noProof/>
        </w:rPr>
        <w:t xml:space="preserve">. If interest rates compensate customers who buy an item, then dividends are also a form of compensation from the company to investors who buy shares of a company.  The dividend policy distributes profits from net income to shareholders. Increasing dividend distribution will increase profits for shareholders. To ensure that both the company and its shareholders benefit, dividend policy must be decided fairly. To avoid agency conflicts, companies can use dividend policies as a way to keep tabs on the amount of money it has. Dividend Yield is one indicator of the number of dividend payments in a company; The decision to distribute dividends or withhold profits to reinvest is part of the dividend policy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{"citationItems":[{"id":"ITEM-1","itemData":{"author":[{"dropping-particle":"","family":"Violita","given":"Cynthia Eka","non-dropping-particle":"","parse-names":false,"suffix":""},{"dropping-particle":"","family":"Wicaksono","given":"Achmad","non-dropping-particle":"","parse-names":false,"suffix":""},{"dropping-particle":"","family":"Ilhama","given":"Nafia","non-dropping-particle":"","parse-names":false,"suffix":""},{"dropping-particle":"","family":"Nahdlatul","given":"Universitas","non-dropping-particle":"","parse-names":false,"suffix":""},{"dropping-particle":"","family":"Sidoarjo","given":"Ulama","non-dropping-particle":"","parse-names":false,"suffix":""}],"id":"ITEM-1","issue":"November","issued":{"date-parts":[["2023"]]},"page":"765-775","title":"KARAKTERISTIK , DIRECT FAMILY OWNERSHIP CEO , DAN KARAKTERISTIK , DIRECT FAMILY OWNERSHIP e-ISSN : 2809-8862 CEO , DAN KEBIJAKAN DIVIDEN Cynthia Eka Violita , Achmad Wicaksono , Nafia Ilhama Qurratu ' aini","type":"article-journal","volume":"14"},"uris":["http://www.mendeley.com/documents/?uuid=aa5f5a44-dfb2-414a-bad8-b8c450fe2478","http://www.mendeley.com/documents/?uuid=9d60683d-035e-4d29-9215-cafe9f0be33f"]}],"mendeley":{"formattedCitation":"(Violita et al., 2023)","plainTextFormattedCitation":"(Violita et al., 2023)","previouslyFormattedCitation":"(Violita et al.,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(Violita et al., 2023)</w:t>
      </w:r>
      <w:r w:rsidRPr="000774C7">
        <w:rPr>
          <w:rFonts w:ascii="Palatino Linotype" w:hAnsi="Palatino Linotype"/>
          <w:noProof/>
        </w:rPr>
        <w:fldChar w:fldCharType="end"/>
      </w:r>
      <w:r w:rsidRPr="000774C7">
        <w:rPr>
          <w:rFonts w:ascii="Palatino Linotype" w:hAnsi="Palatino Linotype"/>
          <w:noProof/>
        </w:rPr>
        <w:t xml:space="preserve">. </w:t>
      </w:r>
    </w:p>
    <w:p w14:paraId="35D19A62" w14:textId="5916BC88" w:rsidR="002E2900" w:rsidRPr="000774C7" w:rsidRDefault="002E2900" w:rsidP="002E2900">
      <w:pPr>
        <w:ind w:firstLine="567"/>
        <w:jc w:val="both"/>
        <w:rPr>
          <w:rFonts w:ascii="Palatino Linotype" w:hAnsi="Palatino Linotype"/>
          <w:noProof/>
        </w:rPr>
      </w:pPr>
      <w:r w:rsidRPr="000774C7">
        <w:rPr>
          <w:rFonts w:ascii="Palatino Linotype" w:hAnsi="Palatino Linotype"/>
          <w:noProof/>
        </w:rPr>
        <w:t>If the company pays dividends to shareholders, it will be its attraction to potential investors. However, dividend policy also determines whether the profits earned by the company will be given to investors who have invested their funds in dividends or kept as retained earnings to finance future investments</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{"citationItems":[{"id":"ITEM-1","itemData":{"DOI":"10.21927/10.21927/jesi.2022.12(2).142-149","ISSN":"2089-3566","abstract":"&lt;p&gt;Penelitian ini bertujuan untuk menguji Pengaruh Profitabilitas (ROA), Likuiditas (Current Rasio), Leverage (Debt Ratio), Kebijakan Dividen (DPR) dan Ukuran Perusahaan (Firm Size) terhadap nilai perusahaan (PBV) pada perusahaan terdaftar di Jakarta Islamic Index (JII) periode 2019- 2021.  Data yang digunakan dalam penelitian ini diperoleh dari data laporan tahunan. Populasi dalam penelitian ini adalah perusahaan terdaftar di Jakarta Islamic Index (JII). Teknik pemilihan sampel yang digunakan yaitu &lt;em&gt;purposive sampling&lt;/em&gt; dan diperoleh sebanyak 30 perusahaan JII dengan periode penelitian pada tahun 2015-2019. Metode analisis data dalam penelitian ini adalah analisis regresi linier berganda dengan menggunakan software SPSS. Hasil penelitian menunjukkan bahwa secara simultan Profitabilitas, Likuiditas, Leverage, Kebijakan Dividen dan Ukuran Perusahaan berpengaruh signifikan terhadap Nilai Perusahaan. Likuiditas dan kebijakan dividen secara parsial berpengaruh positif dan signifikan pada nilai perusahaan, sedangkan profitabiIitas, leverage dan ukuran perusahaan tidak  memiIiki pengaruh signifikan terhadap niIai perusahaan.&lt;/p&gt;","author":[{"dropping-particle":"","family":"Hiyun Puspita Sari","given":"Silvia Waning","non-dropping-particle":"","parse-names":false,"suffix":""},{"dropping-particle":"","family":"Layli","given":"Meutia","non-dropping-particle":"","parse-names":false,"suffix":""},{"dropping-particle":"","family":"Marsuking","given":"Marsuking","non-dropping-particle":"","parse-names":false,"suffix":""},{"dropping-particle":"","family":"Wibisono","given":"Dimas","non-dropping-particle":"","parse-names":false,"suffix":""},{"dropping-particle":"","family":"Wibowo","given":"Ardy","non-dropping-particle":"","parse-names":false,"suffix":""},{"dropping-particle":"","family":"Maula","given":"Defia Ifsantin","non-dropping-particle":"","parse-names":false,"suffix":""},{"dropping-particle":"","family":"Harahap","given":"Ridho Satria","non-dropping-particle":"","parse-names":false,"suffix":""},{"dropping-particle":"","family":"Firmansyah","given":"Firmansyah","non-dropping-particle":"","parse-names":false,"suffix":""},{"dropping-particle":"","family":"Hasbi","given":"M. Zidny Nafi’","non-dropping-particle":"","parse-names":false,"suffix":""}],"container-title":"JESI (Jurnal Ekonomi Syariah Indonesia)","id":"ITEM-1","issue":"2","issued":{"date-parts":[["2023"]]},"page":"123","title":"Pengaruh Profitabilitas, Likuiditas, Leverage, Kebijakan Dividen dan Ukuran Perusahaan terhadap nilai perusahaan pada perusahaan terdaftar di Jakarta Islamic Index (JII) periode 2019- 2021","type":"article-journal","volume":"12"},"uris":["http://www.mendeley.com/documents/?uuid=55d4067a-63c3-4bac-9e12-54cc02b059e6","http://www.mendeley.com/documents/?uuid=0cdcee1d-466f-4d39-b203-364a70af11b3"]}],"mendeley":{"formattedCitation":"(Hiyun Puspita Sari et al., 2023)","plainTextFormattedCitation":"(Hiyun Puspita Sari et al., 2023)","previouslyFormattedCitation":"(Hiyun Puspita Sari et al.,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(Hiyun Puspita Sari et al., 2023)</w:t>
      </w:r>
      <w:r w:rsidRPr="000774C7">
        <w:rPr>
          <w:rFonts w:ascii="Palatino Linotype" w:hAnsi="Palatino Linotype"/>
          <w:noProof/>
        </w:rPr>
        <w:fldChar w:fldCharType="end"/>
      </w:r>
      <w:r w:rsidRPr="000774C7">
        <w:rPr>
          <w:rFonts w:ascii="Palatino Linotype" w:hAnsi="Palatino Linotype"/>
          <w:noProof/>
        </w:rPr>
        <w:t xml:space="preserve">. Research from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{"citationItems":[{"id":"ITEM-1","itemData":{"DOI":"10.1016/j.heliyon.2022.e12522","ISSN":"24058440","abstract":"Live stream marketing in China has been in the rage since 2019, and the e-commerce industry has expanded dramatically since the start of the pandemic. Internet celebrities, a growing number of people from different walks of life, movie stars, and TV hosts are now joining as live streamers. In February 2020, China's A-share stock market's Internet celebrity live streaming index rose by more than 20%. However, does adopting live stream marketing really have positive and significant impact on stock prices of listed companies? This study used event study analysis to investigate the impact of live stream marketing on stock prices of listed companies. After computing the normal rate (NR), abnormal rate (AR), cumulative average abnormal return (CAAR) of the subjects using EXCEL and SPSS and conducting a significant analysis of the CAAR, this study found that live stream marketing events have a positive influence on stock prices of listed companies. Live streaming has brought new economic vitality, however, with the existence of chaos phenomenon on the unmatured industry standards, access thresholds, and industry management at the same time. This study tries to organize a conceptual framework for discussion, and from a practical perspective, to summarize the reasons why companies use live stream marketing to influence stock prices: (1) Live stream marketing can boost sales in a short amount of time. (2) The stock price is influenced by live stream marketing's dramatic sales. (3) Brand awareness, which helps forecast the stock price, is promoted. At the same time, live stream provides significant advantages for companies. However, there is no certain supporting business model predicting how live stream marketing significantly affects the companies' stock price. Therefore, the authors, from a theoretical perspective, tried to solve the problem by seeking a stable business model for predicting the influence of live stream marketing on the stock price. In short, the influence of internet celebrity marketing has become a new significant variable and greatly impacted the firm's stock market price and the relevant research regarding this phenomenon is still scarce; it is necessary to study this hot topic at this stage, which is the research motive of this study.","author":[{"dropping-particle":"","family":"Luo","given":"Shunjun","non-dropping-particle":"","parse-names":false,"suffix":""},{"dropping-particle":"","family":"Shyu","given":"Maw Liann","non-dropping-particle":"","parse-names":false,"suffix":""},{"dropping-particle":"","family":"Silalahi","given":"Andri dayarana k.","non-dropping-particle":"","parse-names":false,"suffix":""},{"dropping-particle":"","family":"Shih","given":"I. Tung","non-dropping-particle":"","parse-names":false,"suffix":""}],"container-title":"Heliyon","id":"ITEM-1","issue":"12","issued":{"date-parts":[["2022"]]},"page":"e12522","publisher":"The Author(s)","title":"A business model predicting the impact of live-stream marketing on firms' stock price - An event study","type":"article-journal","volume":"8"},"uris":["http://www.mendeley.com/documents/?uuid=373fa2b7-d301-4146-bff6-ea49eff08517","http://www.mendeley.com/documents/?uuid=4e69a7e4-f48e-4342-8810-7bbe267c1dfd"]}],"mendeley":{"formattedCitation":"(Luo et al., 2022)","manualFormatting":"Luo et al., (2022)","plainTextFormattedCitation":"(Luo et al., 2022)","previouslyFormattedCitation":"(Luo et al., 2022)"},"properties":{"noteIndex":0},"schema":"https://github.com/citation-style-language/schema/raw/master/csl-citation.json"}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Luo et al., (2022)</w:t>
      </w:r>
      <w:r w:rsidRPr="000774C7">
        <w:rPr>
          <w:rFonts w:ascii="Palatino Linotype" w:hAnsi="Palatino Linotype"/>
          <w:noProof/>
        </w:rPr>
        <w:fldChar w:fldCharType="end"/>
      </w:r>
      <w:r w:rsidRPr="000774C7">
        <w:rPr>
          <w:rFonts w:ascii="Palatino Linotype" w:hAnsi="Palatino Linotype"/>
          <w:noProof/>
        </w:rPr>
        <w:t xml:space="preserve"> found that many variables, such as </w:t>
      </w:r>
      <w:r w:rsidRPr="000774C7">
        <w:rPr>
          <w:rFonts w:ascii="Palatino Linotype" w:hAnsi="Palatino Linotype"/>
          <w:noProof/>
        </w:rPr>
        <w:lastRenderedPageBreak/>
        <w:t xml:space="preserve">economic, political, capital, psychological, informational, and speculative, affect stock prices. Other academics see that these variables are related to national economic progress and government policies In 2019 the president of Indonesia announced the relocation of the capital outside Java, the relocation of the capital city to improve the governance of the capital region. IKN (Capital City of the Archipelago) became the new name for the relocation of the national capital on the island of East Kalimantan. A series of policies have been arranged for the preparation of the IKN, especially regarding transportation, quoted from compass.com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{"citationItems":[{"id":"ITEM-1","itemData":{"author":[{"dropping-particle":"","family":"Laksono","given":"muhdany yusuf","non-dropping-particle":"","parse-names":false,"suffix":""}],"container-title":"kompass.com","id":"ITEM-1","issued":{"date-parts":[["2023"]]},"title":"sistem tranportasi di ibu kota nusantara (IKN)","type":"webpage"},"uris":["http://www.mendeley.com/documents/?uuid=eb4dc587-a328-4090-a530-33fba506c601","http://www.mendeley.com/documents/?uuid=0b8da251-721c-4a94-ac67-78f09a0e57e4"]}],"mendeley":{"formattedCitation":"(Laksono, 2023)","plainTextFormattedCitation":"(Laksono, 2023)","previouslyFormattedCitation":"(Laksono,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(Laksono, 2023)</w:t>
      </w:r>
      <w:r w:rsidRPr="000774C7">
        <w:rPr>
          <w:rFonts w:ascii="Palatino Linotype" w:hAnsi="Palatino Linotype"/>
          <w:noProof/>
        </w:rPr>
        <w:fldChar w:fldCharType="end"/>
      </w:r>
      <w:r w:rsidRPr="000774C7">
        <w:rPr>
          <w:rFonts w:ascii="Palatino Linotype" w:hAnsi="Palatino Linotype"/>
          <w:noProof/>
        </w:rPr>
        <w:t xml:space="preserve">.  Currently, IKN is solidifying the concept of transportation system to become a transportation master plan. </w:t>
      </w:r>
    </w:p>
    <w:p w14:paraId="451C6244" w14:textId="77777777" w:rsidR="002E2900" w:rsidRPr="000774C7" w:rsidRDefault="002E2900" w:rsidP="002E2900">
      <w:pPr>
        <w:ind w:firstLine="567"/>
        <w:jc w:val="both"/>
        <w:rPr>
          <w:rFonts w:ascii="Palatino Linotype" w:hAnsi="Palatino Linotype"/>
          <w:noProof/>
        </w:rPr>
      </w:pPr>
      <w:r w:rsidRPr="000774C7">
        <w:rPr>
          <w:rFonts w:ascii="Palatino Linotype" w:hAnsi="Palatino Linotype"/>
          <w:noProof/>
          <w:shd w:val="clear" w:color="auto" w:fill="FFFFFF"/>
        </w:rPr>
        <w:t xml:space="preserve">The development of IKN with various policies, especially regarding infrastructure &amp; transportation, is a breath of fresh air for investors, this is because the decline of transportation companies during the Covid-19 period will be a great opportunity when the IKN is inaugurated. </w:t>
      </w:r>
      <w:r w:rsidRPr="000774C7">
        <w:rPr>
          <w:rFonts w:ascii="Palatino Linotype" w:hAnsi="Palatino Linotype"/>
          <w:noProof/>
        </w:rPr>
        <w:t xml:space="preserve">On December 20, 2023, President Joko Widodo conducted several groundbreaking in the capital of the archipelago, including the construction of the Nusantara Capital City Central General Hospital (RSUP IKN), then the construction of the Nusantara Superblock in the capital of the archipelago, East Kalimantan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{"citationItems":[{"id":"ITEM-1","itemData":{"author":[{"dropping-particle":"","family":"Bambang susantono","given":"","non-dropping-particle":"","parse-names":false,"suffix":""}],"container-title":"investasi ikn","id":"ITEM-1","issued":{"date-parts":[["2023"]]},"title":"Investasi Pembangunan IKN","type":"webpage"},"uris":["http://www.mendeley.com/documents/?uuid=831a3223-219f-4cbe-a513-30857f2c8677","http://www.mendeley.com/documents/?uuid=f9b968d6-903b-4037-bcb0-69ac6694ca01"]}],"mendeley":{"formattedCitation":"(Bambang susantono, 2023)","manualFormatting":"(Bambang, 2023)","plainTextFormattedCitation":"(Bambang susantono, 2023)","previouslyFormattedCitation":"(Bambang susantono,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(Bambang, 2023)</w:t>
      </w:r>
      <w:r w:rsidRPr="000774C7">
        <w:rPr>
          <w:rFonts w:ascii="Palatino Linotype" w:hAnsi="Palatino Linotype"/>
          <w:noProof/>
        </w:rPr>
        <w:fldChar w:fldCharType="end"/>
      </w:r>
      <w:r w:rsidRPr="000774C7">
        <w:rPr>
          <w:rFonts w:ascii="Palatino Linotype" w:hAnsi="Palatino Linotype"/>
          <w:noProof/>
        </w:rPr>
        <w:t xml:space="preserve">. </w:t>
      </w:r>
      <w:r w:rsidRPr="000774C7">
        <w:rPr>
          <w:rFonts w:ascii="Palatino Linotype" w:hAnsi="Palatino Linotype"/>
          <w:noProof/>
          <w:shd w:val="clear" w:color="auto" w:fill="FFFFFF"/>
        </w:rPr>
        <w:t xml:space="preserve">Great opportunities are always accompanied by great obstacles for someone who wants to invest. Frank Reily (2003) in the book </w:t>
      </w:r>
      <w:r w:rsidRPr="000774C7">
        <w:rPr>
          <w:rFonts w:ascii="Palatino Linotype" w:hAnsi="Palatino Linotype"/>
          <w:i/>
          <w:iCs/>
          <w:noProof/>
          <w:shd w:val="clear" w:color="auto" w:fill="FFFFFF"/>
        </w:rPr>
        <w:t xml:space="preserve">Macroeconomics </w:t>
      </w:r>
      <w:r w:rsidRPr="000774C7">
        <w:rPr>
          <w:rFonts w:ascii="Palatino Linotype" w:hAnsi="Palatino Linotype"/>
          <w:noProof/>
          <w:shd w:val="clear" w:color="auto" w:fill="FFFFFF"/>
        </w:rPr>
        <w:t xml:space="preserve">"Investment is the sacrifice of wealth for future profits and ascertains existing risks such as interest rates, inflation, and dividend policy. </w:t>
      </w:r>
      <w:r w:rsidRPr="000774C7">
        <w:rPr>
          <w:rFonts w:ascii="Palatino Linotype" w:hAnsi="Palatino Linotype"/>
          <w:noProof/>
        </w:rPr>
        <w:t xml:space="preserve">Therefore, issues related to changes in stock prices and political phenomena are of great concern to everyone involved in the business, including investors as owners, management, and potential investors who want to invest. The post-pandemic situation and the IKN to be built will be a new signal for investors. Of course, when going to do business on the stock exchange, it is necessary to analyze the market to ensure that the business can return its investment. </w:t>
      </w:r>
      <w:r w:rsidRPr="000774C7">
        <w:rPr>
          <w:rFonts w:ascii="Palatino Linotype" w:hAnsi="Palatino Linotype"/>
        </w:rPr>
        <w:t xml:space="preserve">This research chose the field of Infrastructure and Transportation because these fields require a lot of capital and demand long-term funding, so investors who invest in this field remain overshadowed by high risks. When they decide to invest, investors will strongly consider the potential gains and risks they can take. Therefore, to attract investors, the management of the company must be done as well as possible. The performance of the company can be measured, which can be measured through increased profits </w:t>
      </w:r>
      <w:r w:rsidRPr="000774C7">
        <w:rPr>
          <w:rFonts w:ascii="Palatino Linotype" w:hAnsi="Palatino Linotype"/>
        </w:rPr>
        <w:fldChar w:fldCharType="begin" w:fldLock="1"/>
      </w:r>
      <w:r w:rsidRPr="000774C7">
        <w:rPr>
          <w:rFonts w:ascii="Palatino Linotype" w:hAnsi="Palatino Linotype"/>
        </w:rPr>
        <w:instrText>ADDIN CSL_CITATION {"citationItems":[{"id":"ITEM-1","itemData":{"DOI":"10.31539/costing.v5i1.2488","ISSN":"2597-5226","abstract":"The aim this research is to know the influence of Inflation, Dividend Policy, Profitability and Company Size on Stocks Prize. This research  uses a quantitive approach. The population is carried out on Infrastructure, Utility and Transportation companies that listed on the Indonesia Stock Exchange total in 74 companies. The sample of this research is 10 companies selected by purposive sampling technique. This statistical method is multiple linear regression. The results show that Dividend Policy and profitability have a positive and significant effect on stock prices. Meanwhile, Inflation and Company Size have no positive and insignificant effect on stock prices. And simultaneously Inflation, Dividend Policy, Profitability and Company Size affect the Stock Price because the value of Fcount 22.802 &gt; Ftable 2.76. The magnitude of the coefficient of determination indicates that the stock price can be explained by the variables Inflation, Dividend Policy, Profitability, Company Size by 75%, while the remaining 25% share price is explained by other variables not examined in this research.\r  \r Keywords : Inflation, Dividend Policy, Profitability, Company Size, Stocks Price","author":[{"dropping-particle":"","family":"Sinaga","given":"Annisa Nauli","non-dropping-particle":"","parse-names":false,"suffix":""},{"dropping-particle":"","family":"Stify","given":"Stify","non-dropping-particle":"","parse-names":false,"suffix":""},{"dropping-particle":"","family":"Oktavia","given":"Meliana","non-dropping-particle":"","parse-names":false,"suffix":""},{"dropping-particle":"","family":"Saphira","given":"Veihao","non-dropping-particle":"","parse-names":false,"suffix":""}],"container-title":"Journal of Economic, Bussines and Accounting (COSTING)","id":"ITEM-1","issue":"1","issued":{"date-parts":[["2021"]]},"page":"634-639","title":"Pengaruh Inflasi, Kebijakan Dividen, Profitabilitas Dan Ukuran Perusahaan Terhadap Harga Saham Pada Perusahaan Infrastruktur, Utility Dan Transportasi Yang Terdaftar Di Bursa Efek Indonesia (BEI)","type":"article-journal","volume":"5"},"uris":["http://www.mendeley.com/documents/?uuid=e3bb6cd6-14cf-44f1-975d-101275351e63","http://www.mendeley.com/documents/?uuid=9849382a-94e9-42a7-89c9-a0d765cad807"]}],"mendeley":{"formattedCitation":"(Sinaga et al., 2021)","plainTextFormattedCitation":"(Sinaga et al., 2021)","previouslyFormattedCitation":"(Sinaga et al., 2021)"},"properties":{"noteIndex":0},"schema":"https://github.com/citation-style-language/schema/raw/master/csl-citation.json"}</w:instrText>
      </w:r>
      <w:r w:rsidRPr="000774C7">
        <w:rPr>
          <w:rFonts w:ascii="Palatino Linotype" w:hAnsi="Palatino Linotype"/>
        </w:rPr>
        <w:fldChar w:fldCharType="separate"/>
      </w:r>
      <w:r w:rsidRPr="000774C7">
        <w:rPr>
          <w:rFonts w:ascii="Palatino Linotype" w:hAnsi="Palatino Linotype"/>
          <w:noProof/>
        </w:rPr>
        <w:t>(Sinaga et al., 2021)</w:t>
      </w:r>
      <w:r w:rsidRPr="000774C7">
        <w:rPr>
          <w:rFonts w:ascii="Palatino Linotype" w:hAnsi="Palatino Linotype"/>
        </w:rPr>
        <w:fldChar w:fldCharType="end"/>
      </w:r>
      <w:r w:rsidRPr="000774C7">
        <w:rPr>
          <w:rFonts w:ascii="Palatino Linotype" w:hAnsi="Palatino Linotype"/>
        </w:rPr>
        <w:t>.</w:t>
      </w:r>
      <w:r w:rsidRPr="000774C7">
        <w:rPr>
          <w:rFonts w:ascii="Palatino Linotype" w:hAnsi="Palatino Linotype"/>
          <w:noProof/>
        </w:rPr>
        <w:t xml:space="preserve"> </w:t>
      </w:r>
    </w:p>
    <w:p w14:paraId="6CF29B2C" w14:textId="77777777" w:rsidR="002E2900" w:rsidRPr="000774C7" w:rsidRDefault="002E2900" w:rsidP="002E2900">
      <w:pPr>
        <w:ind w:firstLine="567"/>
        <w:jc w:val="both"/>
        <w:rPr>
          <w:rFonts w:ascii="Palatino Linotype" w:hAnsi="Palatino Linotype"/>
          <w:noProof/>
        </w:rPr>
      </w:pPr>
      <w:r w:rsidRPr="000774C7">
        <w:rPr>
          <w:rFonts w:ascii="Palatino Linotype" w:hAnsi="Palatino Linotype"/>
          <w:noProof/>
        </w:rPr>
        <w:t xml:space="preserve">The economy is threatened by high inflation. Indonesia experienced high inflation, which reached 650% from 1965 to 1966. As a result, people in Indonesia are rallying to demand price reductions, known as the Three People's Demands, which include lowering the prices of goods that have tormented the people. Inflation was very high from mid-1997 to mid-1999. In 1998 alone, inflation has reached 80%, according to BPS records.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{"citationItems":[{"id":"ITEM-1","itemData":{"ISSN":"2622-4771","abstract":"This research is a descriptive and explanative research on the impact of money supply and the inflation rate on Indonesia Composite Index or IHSG. This research tries to understand the factors affecting the composite stock price index of IHSG by studying Indonesia stock exchange in the period of 2008-2017. The result of this study shows that: 1) The Amount of Money supply has a significant effect on the IHSG. This is evidenced by sig 0.00 &lt; 0.05 and Fcount of 35.467 with the determinant coefficient (R2) of 0.947. This means that 94.7% of the impact is determined to be the contribution of the independent variable (Amount of Money supply and Inflation Rate) together on the dependent variable (IHSG). While the rest (5.3%) is the influence of outside variables not examined in this research. 2) The Amount of Money supply has a significant effect on the IHSG, in accordance with the hypothesis. This is evidenced by sig 0.00 &lt; 0.05 and tcount of 9.213 for the regression coefficient of 0.131 with a significance level of 5% and a significance value of 0.00 (smaller than the significance level of 0.05). 3) The inflation rate has no significant effect on the IHSG. This is evidenced by sig 0.277 &gt; 0.05 and tcount of 1.195 for the regression coefficient of 0.336 with a significance level of 5% and a significance value of 0.227 (greater than the significance level of 0.05).","author":[{"dropping-particle":"","family":"Sumaryoto","given":"","non-dropping-particle":"","parse-names":false,"suffix":""},{"dropping-particle":"","family":"Nurfarkhana","given":"Anna","non-dropping-particle":"","parse-names":false,"suffix":""},{"dropping-particle":"","family":"Anita","given":"Tri","non-dropping-particle":"","parse-names":false,"suffix":""}],"container-title":"Business and Accounting Research (IJEBAR) Peer Reviewed-International Journal","id":"ITEM-1","issue":"2","issued":{"date-parts":[["2021"]]},"page":"196-213","title":"the Impact of Money Supply and the Inflation Rate on Indonesia Composite Index: Case Study in Indonesia Stock Exchange 2008-2017","type":"article-journal","volume":"5"},"uris":["http://www.mendeley.com/documents/?uuid=3adeb3fb-05ba-41d1-bc2a-3d3b7436cc5c","http://www.mendeley.com/documents/?uuid=e4750375-3cc1-4638-87fe-e8eb25899280"]}],"mendeley":{"formattedCitation":"(Sumaryoto et al., 2021)","manualFormatting":"Sumaryoto et al., (2021)","plainTextFormattedCitation":"(Sumaryoto et al., 2021)","previouslyFormattedCitation":"(Sumaryoto et al., 2021)"},"properties":{"noteIndex":0},"schema":"https://github.com/citation-style-language/schema/raw/master/csl-citation.json"}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Sumaryoto et al., (2021)</w:t>
      </w:r>
      <w:r w:rsidRPr="000774C7">
        <w:rPr>
          <w:rFonts w:ascii="Palatino Linotype" w:hAnsi="Palatino Linotype"/>
          <w:noProof/>
        </w:rPr>
        <w:fldChar w:fldCharType="end"/>
      </w:r>
      <w:r w:rsidRPr="000774C7">
        <w:rPr>
          <w:rFonts w:ascii="Palatino Linotype" w:hAnsi="Palatino Linotype"/>
          <w:noProof/>
        </w:rPr>
        <w:t xml:space="preserve"> Inflation is a component that affects the Stock Price Index. Inflation which can also be defined as a decrease in the value of the money supply as a whole, is the tendency to increase prices </w:t>
      </w:r>
      <w:r w:rsidRPr="000774C7">
        <w:rPr>
          <w:rFonts w:ascii="Palatino Linotype" w:hAnsi="Palatino Linotype"/>
          <w:noProof/>
        </w:rPr>
        <w:lastRenderedPageBreak/>
        <w:t xml:space="preserve">continuously. According to the basic concepts of economics, inflation is influenced by the amount of money that is in circulation in an economic country. With high inflation, investors will not be careless in making transactions and even tend to be cautious.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{"citationItems":[{"id":"ITEM-1","itemData":{"author":[{"dropping-particle":"","family":"Dwita Fardani","given":"Khuzaini","non-dropping-particle":"","parse-names":false,"suffix":""}],"id":"ITEM-1","issued":{"date-parts":[["2023"]]},"page":"1-15","title":"Pengaruh inflasi, nilai tukar, dan profitabilitas terhadap harga saham pada perusahaan food and beverage periode 2017-2021","type":"article-journal"},"uris":["http://www.mendeley.com/documents/?uuid=87b47510-e4af-49ce-80da-2fad2ad7b934","http://www.mendeley.com/documents/?uuid=a22bbfb6-0ba8-4298-ace6-9d08279567b0"]}],"mendeley":{"formattedCitation":"(Dwita Fardani, 2023)","plainTextFormattedCitation":"(Dwita Fardani, 2023)","previouslyFormattedCitation":"(Dwita Fardani,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(Dwita Fardani, 2023)</w:t>
      </w:r>
      <w:r w:rsidRPr="000774C7">
        <w:rPr>
          <w:rFonts w:ascii="Palatino Linotype" w:hAnsi="Palatino Linotype"/>
          <w:noProof/>
        </w:rPr>
        <w:fldChar w:fldCharType="end"/>
      </w:r>
      <w:r w:rsidRPr="000774C7">
        <w:rPr>
          <w:rFonts w:ascii="Palatino Linotype" w:hAnsi="Palatino Linotype"/>
          <w:noProof/>
        </w:rPr>
        <w:t xml:space="preserve"> states that inflation is an increase in the price of goods and services as a whole. A reduction in investors' real income will be affected by high inflation, while a decrease in inflation is a good signal. This can result in a decrease in business value. The movement of inflation in a country is so fast along with the condition of the country, that will later result in the price of goods and the company's stock price.</w:t>
      </w:r>
    </w:p>
    <w:p w14:paraId="4F1430C0" w14:textId="77777777" w:rsidR="009D7BB6" w:rsidRDefault="002E2900" w:rsidP="002E2900">
      <w:pPr>
        <w:ind w:firstLine="567"/>
        <w:jc w:val="both"/>
        <w:rPr>
          <w:rFonts w:ascii="Palatino Linotype" w:hAnsi="Palatino Linotype"/>
          <w:noProof/>
        </w:rPr>
      </w:pPr>
      <w:r w:rsidRPr="000774C7">
        <w:rPr>
          <w:rFonts w:ascii="Palatino Linotype" w:hAnsi="Palatino Linotype"/>
          <w:noProof/>
        </w:rPr>
        <w:t xml:space="preserve">Interest rates are a financial tool that can regulate the flow of money. For example, if an industrial company borrows funds, the government will support the growth of that industry. Therefore, the interest rate given by the government to this sector is lower than that given to other sectors. Two types of interest rates are loan interest and deposit interest. Loan interest means a high price distributed to creditors or stimuli for customers who get loans; Deposit interest is the price shared with clients who have bank accounts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{"citationItems":[{"id":"ITEM-1","itemData":{"DOI":"10.31539/costing.v6i2.4906","ISSN":"2597-5226","abstract":"The existence of the capital market in Indonesia has an important role in economic development. There are important factors that investors pay attention to, namely the condition of interest rates and stock returns, and these affect the value of the company. The research method is in the form of a literature study by reviewing various related studies recorded in Mendeley references and Google Schoolars both nationally and internationally. The results of this study were analyzed and used as material for discussion to determine answers to problems regarding the relationship between risk mitigation and rescue procedures in the people's credit system. All ideas from each study provide information about the methodologically desirable theory of the study being analyzed. The results explain that there is a positive relationship between interest rates and stock returns on firm value and it can influence investors to buy shares in the company.\r Keywords: Firm Value, Stock Returns, Interest Rate","author":[{"dropping-particle":"","family":"Ernayani","given":"Rihfenti","non-dropping-particle":"","parse-names":false,"suffix":""},{"dropping-particle":"","family":"Asnawi","given":"Muhammad Imam","non-dropping-particle":"","parse-names":false,"suffix":""},{"dropping-particle":"","family":"Lumentah","given":"Natalia Reyne","non-dropping-particle":"","parse-names":false,"suffix":""},{"dropping-particle":"","family":"Moridu","given":"Irwan","non-dropping-particle":"","parse-names":false,"suffix":""},{"dropping-particle":"","family":"Lestari","given":"Winda","non-dropping-particle":"","parse-names":false,"suffix":""}],"container-title":"Journal of Economic, Bussines and Accounting (COSTING)","id":"ITEM-1","issue":"2","issued":{"date-parts":[["2023"]]},"page":"1168-1180","title":"Literature Review: Prospek Peningkatan Suku Bunga terhadap Nilai Perusahaan dan Return Saham","type":"article-journal","volume":"6"},"uris":["http://www.mendeley.com/documents/?uuid=cf16b765-e6ff-4ff4-abd5-5c16525fee06","http://www.mendeley.com/documents/?uuid=c221b6a3-0e49-47be-9e1a-144cb515aa0b"]}],"mendeley":{"formattedCitation":"(Ernayani et al., 2023)","plainTextFormattedCitation":"(Ernayani et al., 2023)","previouslyFormattedCitation":"(Ernayani et al.,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(Ernayani et al., 2023)</w:t>
      </w:r>
      <w:r w:rsidRPr="000774C7">
        <w:rPr>
          <w:rFonts w:ascii="Palatino Linotype" w:hAnsi="Palatino Linotype"/>
          <w:noProof/>
        </w:rPr>
        <w:fldChar w:fldCharType="end"/>
      </w:r>
      <w:r w:rsidRPr="000774C7">
        <w:rPr>
          <w:rFonts w:ascii="Palatino Linotype" w:hAnsi="Palatino Linotype"/>
          <w:noProof/>
        </w:rPr>
        <w:t xml:space="preserve">. Bank Indonesia's monetary policy stance announced to the public is the interest rate, also referred to as the Bi 7-Days Repo Rate (Bi7DRR) (www.bi.go.id, 2020). </w:t>
      </w:r>
    </w:p>
    <w:p w14:paraId="3237EA56" w14:textId="76845DEC" w:rsidR="002E2900" w:rsidRPr="000774C7" w:rsidRDefault="002E2900" w:rsidP="002E2900">
      <w:pPr>
        <w:ind w:firstLine="567"/>
        <w:jc w:val="both"/>
        <w:rPr>
          <w:rFonts w:ascii="Palatino Linotype" w:hAnsi="Palatino Linotype"/>
          <w:noProof/>
        </w:rPr>
      </w:pPr>
      <w:r w:rsidRPr="000774C7">
        <w:rPr>
          <w:rFonts w:ascii="Palatino Linotype" w:hAnsi="Palatino Linotype"/>
          <w:noProof/>
        </w:rPr>
        <w:t xml:space="preserve">Too high-interest rates will reduce the value of the company's cash flow and make it less interested in investment. High interest rates can depend on the amount of spending in a business, while low interest rates will trigger economic growth due to the intensity of the flow of funds increasing, high interest rates make companies have to spend more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{"citationItems":[{"id":"ITEM-1","itemData":{"DOI":"10.31539/costing.v6i2.4906","ISSN":"2597-5226","abstract":"The existence of the capital market in Indonesia has an important role in economic development. There are important factors that investors pay attention to, namely the condition of interest rates and stock returns, and these affect the value of the company. The research method is in the form of a literature study by reviewing various related studies recorded in Mendeley references and Google Schoolars both nationally and internationally. The results of this study were analyzed and used as material for discussion to determine answers to problems regarding the relationship between risk mitigation and rescue procedures in the people's credit system. All ideas from each study provide information about the methodologically desirable theory of the study being analyzed. The results explain that there is a positive relationship between interest rates and stock returns on firm value and it can influence investors to buy shares in the company.\r Keywords: Firm Value, Stock Returns, Interest Rate","author":[{"dropping-particle":"","family":"Ernayani","given":"Rihfenti","non-dropping-particle":"","parse-names":false,"suffix":""},{"dropping-particle":"","family":"Asnawi","given":"Muhammad Imam","non-dropping-particle":"","parse-names":false,"suffix":""},{"dropping-particle":"","family":"Lumentah","given":"Natalia Reyne","non-dropping-particle":"","parse-names":false,"suffix":""},{"dropping-particle":"","family":"Moridu","given":"Irwan","non-dropping-particle":"","parse-names":false,"suffix":""},{"dropping-particle":"","family":"Lestari","given":"Winda","non-dropping-particle":"","parse-names":false,"suffix":""}],"container-title":"Journal of Economic, Bussines and Accounting (COSTING)","id":"ITEM-1","issue":"2","issued":{"date-parts":[["2023"]]},"page":"1168-1180","title":"Literature Review: Prospek Peningkatan Suku Bunga terhadap Nilai Perusahaan dan Return Saham","type":"article-journal","volume":"6"},"uris":["http://www.mendeley.com/documents/?uuid=c221b6a3-0e49-47be-9e1a-144cb515aa0b","http://www.mendeley.com/documents/?uuid=cf16b765-e6ff-4ff4-abd5-5c16525fee06"]}],"mendeley":{"formattedCitation":"(Ernayani et al., 2023)","plainTextFormattedCitation":"(Ernayani et al., 2023)","previouslyFormattedCitation":"(Ernayani et al.,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(Ernayani et al., 2023)</w:t>
      </w:r>
      <w:r w:rsidRPr="000774C7">
        <w:rPr>
          <w:rFonts w:ascii="Palatino Linotype" w:hAnsi="Palatino Linotype"/>
          <w:noProof/>
        </w:rPr>
        <w:fldChar w:fldCharType="end"/>
      </w:r>
      <w:r w:rsidRPr="000774C7">
        <w:rPr>
          <w:rFonts w:ascii="Palatino Linotype" w:hAnsi="Palatino Linotype"/>
          <w:noProof/>
        </w:rPr>
        <w:t xml:space="preserve">.  </w:t>
      </w:r>
      <w:r w:rsidRPr="000774C7">
        <w:rPr>
          <w:rFonts w:ascii="Palatino Linotype" w:hAnsi="Palatino Linotype"/>
        </w:rPr>
        <w:t xml:space="preserve">According to </w:t>
      </w:r>
      <w:r w:rsidRPr="000774C7">
        <w:rPr>
          <w:rFonts w:ascii="Palatino Linotype" w:hAnsi="Palatino Linotype"/>
        </w:rPr>
        <w:fldChar w:fldCharType="begin" w:fldLock="1"/>
      </w:r>
      <w:r w:rsidRPr="000774C7">
        <w:rPr>
          <w:rFonts w:ascii="Palatino Linotype" w:hAnsi="Palatino Linotype"/>
        </w:rPr>
        <w:instrText>ADDIN CSL_CITATION {"citationItems":[{"id":"ITEM-1","itemData":{"DOI":"10.15548/al-masraf.v6i2.475","ISSN":"2528-5629","abstract":"… inflasi dan suku bunga. Penelitian ini bertujuan untuk mengetahui pengaruh inflasi dan suku bunga … sub sektor transportasi dan logistik pada masa pandemi Covid-19 yang terdaftar di …","author":[{"dropping-particle":"","family":"RASYAD","given":"FAZNIL HUSNA S.","non-dropping-particle":"","parse-names":false,"suffix":""},{"dropping-particle":"","family":"AGHSILNI","given":"AGHSILNI","non-dropping-particle":"","parse-names":false,"suffix":""},{"dropping-particle":"","family":"WISANGGARA","given":"RANGGA","non-dropping-particle":"","parse-names":false,"suffix":""}],"container-title":"Al-Masraf: Jurnal Lembaga Keuangan dan Perbankan","id":"ITEM-1","issue":"2","issued":{"date-parts":[["2021"]]},"page":"124","title":"Pengaruh Inflasi Dan Tingkat Suku Bunga Terhadap Harga Saham Perusahaan Pada Masa Pandemi Covid-19","type":"article-journal","volume":"6"},"uris":["http://www.mendeley.com/documents/?uuid=40b7aa02-959c-4764-9897-08de2d9eaab3","http://www.mendeley.com/documents/?uuid=9431855c-255b-40a7-8d23-90ac1aa4148c"]}],"mendeley":{"formattedCitation":"(RASYAD et al., 2021)"},"properties":{"noteIndex":0},"schema":"https://github.com/citation-style-language/schema/raw/master/csl-citation.json"}</w:instrText>
      </w:r>
      <w:r w:rsidRPr="000774C7">
        <w:rPr>
          <w:rFonts w:ascii="Palatino Linotype" w:hAnsi="Palatino Linotype"/>
        </w:rPr>
        <w:fldChar w:fldCharType="separate"/>
      </w:r>
      <w:r w:rsidRPr="000774C7">
        <w:rPr>
          <w:rFonts w:ascii="Palatino Linotype" w:hAnsi="Palatino Linotype"/>
          <w:noProof/>
        </w:rPr>
        <w:t>Rasyad et al., (2021)</w:t>
      </w:r>
      <w:r w:rsidRPr="000774C7">
        <w:rPr>
          <w:rFonts w:ascii="Palatino Linotype" w:hAnsi="Palatino Linotype"/>
        </w:rPr>
        <w:fldChar w:fldCharType="end"/>
      </w:r>
      <w:r w:rsidRPr="000774C7">
        <w:rPr>
          <w:rFonts w:ascii="Palatino Linotype" w:hAnsi="Palatino Linotype"/>
        </w:rPr>
        <w:t xml:space="preserve">, Interest rates affect money markets, banking, and the real sector. High-interest rates are a negative signal to stock prices because the required return on capital invested in stocks will also rise if interest rates rise. High-interest rates can also influence investors' decisions about what investments they will make. If interest rates rise, investors tend to prefer to invest in banking products such as savings and time deposits. Therefore, investor interest in investing in the capital market decreases along with an increase in interest rates, which can result in a decrease in stock prices. </w:t>
      </w:r>
      <w:r w:rsidRPr="000774C7">
        <w:rPr>
          <w:rFonts w:ascii="Palatino Linotype" w:hAnsi="Palatino Linotype"/>
        </w:rPr>
        <w:fldChar w:fldCharType="begin" w:fldLock="1"/>
      </w:r>
      <w:r w:rsidRPr="000774C7">
        <w:rPr>
          <w:rFonts w:ascii="Palatino Linotype" w:hAnsi="Palatino Linotype"/>
        </w:rPr>
        <w:instrText>ADDIN CSL_CITATION {"citationItems":[{"id":"ITEM-1","itemData":{"DOI":"10.22437/jdm.v8i2.16868","ISSN":"2338-123X","abstract":"This study aims to examine the effect of the interest rate of Bank Indonesia and the exchange rate on the stock prices of the coal industry listed on the Indonesian securities exchange for 2014-2017period empirically. Data used in this study are multiple linear analyses and hypotheses. The independent variable is the interest rate of Bank Indonesia. The dependent variable is exchange rates at the coal mining industry stock price for 2014-2017. Data used in this study are secondary data obtained from the Indonesian stock exchange (IDX). The testing of the hypothesis in this study was tested using SPSS 23. The results showed that the interest rate of Indonesian banks had an effect of 18.75% and an effective exchange rate of44.22%, with a significant negative impact on the share price of the coal mining industry listed on the Indonesian stock exchange in 2014- 2017.","author":[{"dropping-particle":"","family":"Ahfazhi","given":"Ahfazhi","non-dropping-particle":"","parse-names":false,"suffix":""},{"dropping-particle":"","family":"Fitriaty","given":"Fitriaty","non-dropping-particle":"","parse-names":false,"suffix":""},{"dropping-particle":"","family":"Lubis","given":"Tona Aurora","non-dropping-particle":"","parse-names":false,"suffix":""}],"container-title":"Jurnal Dinamika Manajemen","id":"ITEM-1","issue":"2","issued":{"date-parts":[["2020"]]},"page":"59-72","title":"Pengaruh tingkat suku bunga dan kurs terhadap harga saham industri pertambangan batubara di Bursa Efek Indonesia periode 2014-2017","type":"article-journal","volume":"8"},"uris":["http://www.mendeley.com/documents/?uuid=6e7362ef-3976-4511-ae8a-1d9bdfb7eae2","http://www.mendeley.com/documents/?uuid=ce61808d-d7a1-4567-9d71-a0fc47a13067"]}],"mendeley":{"formattedCitation":"(Ahfazhi et al., 2020)","plainTextFormattedCitation":"(Ahfazhi et al., 2020)","previouslyFormattedCitation":"(Ahfazhi et al., 2020)"},"properties":{"noteIndex":0},"schema":"https://github.com/citation-style-language/schema/raw/master/csl-citation.json"}</w:instrText>
      </w:r>
      <w:r w:rsidRPr="000774C7">
        <w:rPr>
          <w:rFonts w:ascii="Palatino Linotype" w:hAnsi="Palatino Linotype"/>
        </w:rPr>
        <w:fldChar w:fldCharType="separate"/>
      </w:r>
      <w:r w:rsidRPr="000774C7">
        <w:rPr>
          <w:rFonts w:ascii="Palatino Linotype" w:hAnsi="Palatino Linotype"/>
          <w:noProof/>
        </w:rPr>
        <w:t>Ahfazhi et al., (2020)</w:t>
      </w:r>
      <w:r w:rsidRPr="000774C7">
        <w:rPr>
          <w:rFonts w:ascii="Palatino Linotype" w:hAnsi="Palatino Linotype"/>
        </w:rPr>
        <w:fldChar w:fldCharType="end"/>
      </w:r>
      <w:r w:rsidRPr="000774C7">
        <w:rPr>
          <w:rFonts w:ascii="Palatino Linotype" w:hAnsi="Palatino Linotype"/>
        </w:rPr>
        <w:t xml:space="preserve"> state that interest rates that are too high will have an impact on the current value of the company's cash flows, which means that existing investment opportunities will no longer be attractive. High interest rates will also increase the company's cost of capital, which in turn will reduce investors' return on investment.</w:t>
      </w:r>
    </w:p>
    <w:p w14:paraId="2625A8C1" w14:textId="39CF199F" w:rsidR="002E2900" w:rsidRPr="000774C7" w:rsidRDefault="002E2900" w:rsidP="009D7BB6">
      <w:pPr>
        <w:ind w:firstLine="567"/>
        <w:jc w:val="both"/>
        <w:rPr>
          <w:rFonts w:ascii="Palatino Linotype" w:hAnsi="Palatino Linotype"/>
          <w:noProof/>
        </w:rPr>
      </w:pPr>
      <w:r w:rsidRPr="000774C7">
        <w:rPr>
          <w:rFonts w:ascii="Palatino Linotype" w:hAnsi="Palatino Linotype"/>
          <w:noProof/>
        </w:rPr>
        <w:t xml:space="preserve">Business management can use a dividend policy to give profits to their shareholders instead of holding those profits as retained earnings to reinvest. Capital gains, also known as dividends, are the profits from investing money over the long term.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{"citationItems":[{"id":"ITEM-1","itemData":{"DOI":"10.56341/amj.v4i1.243","abstract":"The study aims to determine the effect of dividend policy and capital structure on firm value of manufacturing companies period 2014-2018. The independent variables used in this study are the dividend policy (dividend payout ratio) and capital structure (debt to equity ratio). The dependent variable used in this study is firm value (price to book value). This research is a quantitative research. The population in this study are all manufacturing companies listed on the indonesia stock exchange period 2014 to 2018 amounting to 162 companies. The selection of the sample using purposive sampling, with some predetermined criteria, the number of samples is 10 manufacturing companies. This data is in the form of financial reports that have been published on the Indonesian stock exchange website. Data analysis techniques used in this study is multiple linear regession analysis. Based on the results of data analysis, it shows that the dividend policy and capital structure have an effect on positively and significant to firm value.","author":[{"dropping-particle":"","family":"Mangkona","given":"Suriyanti","non-dropping-particle":"","parse-names":false,"suffix":""},{"dropping-particle":"","family":"Fadhilah","given":"Nur","non-dropping-particle":"","parse-names":false,"suffix":""},{"dropping-particle":"","family":"Nurfan","given":"Hayah Masrurah","non-dropping-particle":"","parse-names":false,"suffix":""}],"container-title":"Amsir Management Journal","id":"ITEM-1","issue":"1","issued":{"date-parts":[["2023"]]},"page":"11-21","title":"Pengaruh Kebijakan Dividen dan Struktur Modal Terhadap Nilai Perusahaan Manufaktur di Bursa Efek Indonesia","type":"article-journal","volume":"4"},"uris":["http://www.mendeley.com/documents/?uuid=c0e66b8c-aea3-427c-976b-bbea190a75e7","http://www.mendeley.com/documents/?uuid=63292b60-d73b-4769-b675-d0c948829945"]}],"mendeley":{"formattedCitation":"(Mangkona et al., 2023)","plainTextFormattedCitation":"(Mangkona et al., 2023)","previouslyFormattedCitation":"(Mangkona et al.,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(Mangkona et al., 2023)</w:t>
      </w:r>
      <w:r w:rsidRPr="000774C7">
        <w:rPr>
          <w:rFonts w:ascii="Palatino Linotype" w:hAnsi="Palatino Linotype"/>
          <w:noProof/>
        </w:rPr>
        <w:fldChar w:fldCharType="end"/>
      </w:r>
      <w:r w:rsidRPr="000774C7">
        <w:rPr>
          <w:rFonts w:ascii="Palatino Linotype" w:hAnsi="Palatino Linotype"/>
          <w:noProof/>
        </w:rPr>
        <w:t xml:space="preserve">. A dividend policy is defined as the distribution of profits obtained by the company to shareholders and investors.  Dividends are given by issuers to inform shareholders and other stock market participants about the company's condition. So, dividends tell the market about the company's cash condition. Investors receive signals from the company's earnings </w:t>
      </w:r>
      <w:r w:rsidRPr="000774C7">
        <w:rPr>
          <w:rFonts w:ascii="Palatino Linotype" w:hAnsi="Palatino Linotype"/>
          <w:noProof/>
        </w:rPr>
        <w:lastRenderedPageBreak/>
        <w:t xml:space="preserve">through dividends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{"citationItems":[{"id":"ITEM-1","itemData":{"DOI":"10.1016/j.heliyon.2023.e20586","ISSN":"24058440","abstract":"The purpose of this paper is to determine the effect of the Covid-19 pandemic crisis on dividend policy and performance and explore the interplay between performance and financial constraints to identify how such a fit affected dividend policy during the crisis. We used a final sample of 106 SBF-listed firms during six years. To assess the effect of the crisis, we divided this period into three subperiods: pre-crisis (2016–2018), pandemic period (2019–2021), and all periods (2016–2021). A System Generalized Method of Moments (SGMM) is used to deal with the problem of endogeneity caused by the lagged dependent variable. The results showed that only the crisis and the financial constraints (KZ index) negatively correlated with dividend payment levels (DivPaid). This dividend level did not take performance into account. Regarding the control variables, only debt, growth, and size positively impacted dividend levels. Moreover, the performance of French companies was negatively influenced by the DividPaid, KZindex, and Crisis variables. The findings suggest that France should prioritize dividend payments to protect a company's reputation and financial health. These findings have significant implications for investors, financial analysts, regulators, and policymakers who are looking for guidance on dividend policy in uncertain situations.","author":[{"dropping-particle":"","family":"Theiri","given":"Saliha","non-dropping-particle":"","parse-names":false,"suffix":""},{"dropping-particle":"","family":"Hamad","given":"Salah","non-dropping-particle":"Ben","parse-names":false,"suffix":""},{"dropping-particle":"","family":"Amor","given":"Mouna","non-dropping-particle":"Ben","parse-names":false,"suffix":""}],"container-title":"Heliyon","id":"ITEM-1","issue":"10","issued":{"date-parts":[["2023"]]},"page":"e20586","publisher":"Elsevier Ltd","title":"Dividend policy and crisis: Exploring the interplay between performance and financial constraints in the French context","type":"article-journal","volume":"9"},"uris":["http://www.mendeley.com/documents/?uuid=1f72d993-11fb-4383-8aa9-816736ef16ab","http://www.mendeley.com/documents/?uuid=d4d1e1e4-3f3e-4ad4-83a6-5947356ba83b"]}],"mendeley":{"formattedCitation":"(Theiri et al., 2023)","plainTextFormattedCitation":"(Theiri et al., 2023)","previouslyFormattedCitation":"(Theiri et al., 2023)"},"properties":{"noteIndex":0},"schema":"https://github.com/citation-style-language/schema/raw/master/csl-citation.json"}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(Theiri et al., 2023)</w:t>
      </w:r>
      <w:r w:rsidRPr="000774C7">
        <w:rPr>
          <w:rFonts w:ascii="Palatino Linotype" w:hAnsi="Palatino Linotype"/>
          <w:noProof/>
        </w:rPr>
        <w:fldChar w:fldCharType="end"/>
      </w:r>
      <w:r w:rsidRPr="000774C7">
        <w:rPr>
          <w:rFonts w:ascii="Palatino Linotype" w:hAnsi="Palatino Linotype"/>
          <w:noProof/>
        </w:rPr>
        <w:t xml:space="preserve">.  </w:t>
      </w:r>
      <w:r w:rsidRPr="000774C7">
        <w:rPr>
          <w:rFonts w:ascii="Palatino Linotype" w:hAnsi="Palatino Linotype" w:cstheme="majorBidi"/>
          <w:noProof/>
        </w:rPr>
        <w:t xml:space="preserve">Factors affecting the dividend policy of a company according to </w:t>
      </w:r>
      <w:r w:rsidRPr="000774C7">
        <w:rPr>
          <w:rFonts w:ascii="Palatino Linotype" w:hAnsi="Palatino Linotype" w:cstheme="majorBidi"/>
          <w:noProof/>
        </w:rPr>
        <w:fldChar w:fldCharType="begin" w:fldLock="1"/>
      </w:r>
      <w:r w:rsidRPr="000774C7">
        <w:rPr>
          <w:rFonts w:ascii="Palatino Linotype" w:hAnsi="Palatino Linotype" w:cstheme="majorBidi"/>
          <w:noProof/>
        </w:rPr>
        <w:instrText>ADDIN CSL_CITATION {"citationItems":[{"id":"ITEM-1","itemData":{"author":[{"dropping-particle":"","family":"Sulindawati","given":"","non-dropping-particle":"","parse-names":false,"suffix":""}],"id":"ITEM-1","issued":{"date-parts":[["2018"]]},"title":"Manajemen Keuangan","type":"book"},"uris":["http://www.mendeley.com/documents/?uuid=eecdf07a-65af-4b80-8d66-e74f6177fa58","http://www.mendeley.com/documents/?uuid=4008b5e5-f7ba-40a0-b43d-63b12ee32bf5"]}],"mendeley":{"formattedCitation":"(Sulindawati, 2018)"},"properties":{"noteIndex":0},"schema":"https://github.com/citation-style-language/schema/raw/master/csl-citation.json"}</w:instrText>
      </w:r>
      <w:r w:rsidRPr="000774C7">
        <w:rPr>
          <w:rFonts w:ascii="Palatino Linotype" w:hAnsi="Palatino Linotype" w:cstheme="majorBidi"/>
          <w:noProof/>
        </w:rPr>
        <w:fldChar w:fldCharType="separate"/>
      </w:r>
      <w:r w:rsidRPr="000774C7">
        <w:rPr>
          <w:rFonts w:ascii="Palatino Linotype" w:hAnsi="Palatino Linotype" w:cstheme="majorBidi"/>
          <w:noProof/>
        </w:rPr>
        <w:t>(Sulindawati, 2018)</w:t>
      </w:r>
      <w:r w:rsidRPr="000774C7">
        <w:rPr>
          <w:rFonts w:ascii="Palatino Linotype" w:hAnsi="Palatino Linotype" w:cstheme="majorBidi"/>
          <w:noProof/>
        </w:rPr>
        <w:fldChar w:fldCharType="end"/>
      </w:r>
      <w:r w:rsidRPr="000774C7">
        <w:rPr>
          <w:rFonts w:ascii="Palatino Linotype" w:hAnsi="Palatino Linotype" w:cstheme="majorBidi"/>
          <w:noProof/>
        </w:rPr>
        <w:t xml:space="preserve"> among others the company's liquidity position, the need for funds to repay debts,  the growth rate of the company; and supervision of the company.</w:t>
      </w:r>
      <w:r w:rsidRPr="000774C7">
        <w:rPr>
          <w:rFonts w:ascii="Palatino Linotype" w:hAnsi="Palatino Linotype"/>
          <w:noProof/>
        </w:rPr>
        <w:t xml:space="preserve"> </w:t>
      </w:r>
      <w:r w:rsidRPr="000774C7">
        <w:rPr>
          <w:rFonts w:ascii="Palatino Linotype" w:hAnsi="Palatino Linotype" w:cstheme="majorBidi"/>
          <w:noProof/>
        </w:rPr>
        <w:t>The company's liquidity position is an important factor that must be considered before deciding to determine the amount of dividends to be paid to shareholders. The stronger a company's liquidity position, the greater its ability to pay dividends.</w:t>
      </w:r>
      <w:r w:rsidRPr="000774C7">
        <w:rPr>
          <w:rFonts w:ascii="Palatino Linotype" w:hAnsi="Palatino Linotype"/>
          <w:noProof/>
        </w:rPr>
        <w:t xml:space="preserve"> </w:t>
      </w:r>
      <w:r w:rsidRPr="000774C7">
        <w:rPr>
          <w:rFonts w:ascii="Palatino Linotype" w:hAnsi="Palatino Linotype" w:cstheme="majorBidi"/>
          <w:noProof/>
        </w:rPr>
        <w:t>A company will acquire new debt or sell new bonds to finance the expansion of the company. Debt can be repaid by replacing the debt with an alternative, the company must provide its own funds derived from profits to pay off the debt. If the company determines that the repayment of its debt will be taken from retained earnings, that means only a small portion of its income can be paid as dividends.</w:t>
      </w:r>
      <w:r w:rsidRPr="000774C7">
        <w:rPr>
          <w:rFonts w:ascii="Palatino Linotype" w:hAnsi="Palatino Linotype"/>
          <w:noProof/>
        </w:rPr>
        <w:t xml:space="preserve"> </w:t>
      </w:r>
      <w:r w:rsidRPr="000774C7">
        <w:rPr>
          <w:rFonts w:ascii="Palatino Linotype" w:hAnsi="Palatino Linotype" w:cstheme="majorBidi"/>
          <w:noProof/>
        </w:rPr>
        <w:t xml:space="preserve">The faster the growth rate of a company, the greater the need for funds to finance the growth of the company, the company is usually more than happy to hold its earnings rather than be paid as dividends to shareholders. The faster the company's growth rate, the greater the funds needed. </w:t>
      </w:r>
    </w:p>
    <w:p w14:paraId="78843EBA" w14:textId="77777777" w:rsidR="009D7BB6" w:rsidRDefault="002E2900" w:rsidP="002E2900">
      <w:pPr>
        <w:ind w:firstLine="567"/>
        <w:jc w:val="both"/>
        <w:rPr>
          <w:rFonts w:ascii="Palatino Linotype" w:hAnsi="Palatino Linotype"/>
          <w:noProof/>
        </w:rPr>
      </w:pPr>
      <w:r w:rsidRPr="000774C7">
        <w:rPr>
          <w:rFonts w:ascii="Palatino Linotype" w:hAnsi="Palatino Linotype"/>
          <w:noProof/>
        </w:rPr>
        <w:t xml:space="preserve">Spance introduced a theory to make assumptions for his readers, namely signal theory in his study entitled </w:t>
      </w:r>
      <w:r w:rsidRPr="000774C7">
        <w:rPr>
          <w:rFonts w:ascii="Palatino Linotype" w:hAnsi="Palatino Linotype"/>
          <w:i/>
          <w:iCs/>
          <w:noProof/>
        </w:rPr>
        <w:t>Signaling Market for Job Market</w:t>
      </w:r>
      <w:r w:rsidRPr="000774C7">
        <w:rPr>
          <w:rFonts w:ascii="Palatino Linotype" w:hAnsi="Palatino Linotype"/>
          <w:noProof/>
        </w:rPr>
        <w:t xml:space="preserve">. One way companies can increase their value is by opening up certain information for outside investors to read. All market participants interpret and analyze the information after it is announced.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{"citationItems":[{"id":"ITEM-1","itemData":{"DOI":"10.36406/jemi.v28i01.273","ISSN":"0854-0985","abstract":"Penelitian ini bertujuan untuk menguji pengaruh kepemilikan manajerial, kepemilikan institusional, struktur modal, pertumbuhan perusahaan dan profitabilitas terhadap nilai perusahaan pada perusahaan manufaktur yang terdaftar di Bursa Efek Indonesia (BEI). Penelitian ini menggunakan 27 perusahaan manufaktur yang terdaftar di Bursa Efek Indonesia yang dipilih dengan menggunakan metode purposive sampling selama tahun 2015 sampai dengan tahun 2018. Jenis penelitian ini adalah kausalitas kuantitatif, yang dianalisis dengan menggunakan metode analisis regresi linier berganda data panel dengan bantuan alat Eviews 11 untuk mengolah datanya. Hasil penelitian menunjukkan bahwa profitabilitas berpengaruh positif signifikan terhadap nilai perusahaan, semakin besar keuntungan yang diperoleh semakin besar pula kemampuan perusahaan membayarkan devidennya. Hal tersebut dapat memberi sinyal positif kepada investor sehingga saham akan semakin diminati yang kemudian akan meningkatkan nilai perusahaan tersebut.","author":[{"dropping-particle":"","family":"Nasution","given":"Nursanita","non-dropping-particle":"","parse-names":false,"suffix":""},{"dropping-particle":"","family":"Faruqi","given":"Faris","non-dropping-particle":"","parse-names":false,"suffix":""},{"dropping-particle":"","family":"Rahayu","given":"Sri","non-dropping-particle":"","parse-names":false,"suffix":""}],"container-title":"Jurnal STEI Ekonomi","id":"ITEM-1","issue":"01","issued":{"date-parts":[["2019"]]},"page":"153-171","title":"Pengaruh Kepemilikan Manajerial, Kepemilikan Institusional, Struktur Modal, Pertumbuhan Perusahaan Dan Profitabilitas Terhadap Nilai Perusahaan Pada Perusahaan Manufaktur Di Indonesia Tahun 2015-2018","type":"article-journal","volume":"28"},"uris":["http://www.mendeley.com/documents/?uuid=e9e35111-d92b-4ab8-a342-d315b3ca5e14","http://www.mendeley.com/documents/?uuid=c0691f47-70bf-4b05-a2a6-7915e27d1c8c"]}],"mendeley":{"formattedCitation":"(Nasution et al., 2019)","plainTextFormattedCitation":"(Nasution et al., 2019)","previouslyFormattedCitation":"(Nasution et al., 2019)"},"properties":{"noteIndex":0},"schema":"https://github.com/citation-style-language/schema/raw/master/csl-citation.json"}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(Nasution et al., 2019)</w:t>
      </w:r>
      <w:r w:rsidRPr="000774C7">
        <w:rPr>
          <w:rFonts w:ascii="Palatino Linotype" w:hAnsi="Palatino Linotype"/>
          <w:noProof/>
        </w:rPr>
        <w:fldChar w:fldCharType="end"/>
      </w:r>
      <w:r w:rsidRPr="000774C7">
        <w:rPr>
          <w:rFonts w:ascii="Palatino Linotype" w:hAnsi="Palatino Linotype"/>
          <w:noProof/>
        </w:rPr>
        <w:t xml:space="preserve">. According to Ross </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{"citationItems":[{"id":"ITEM-1","itemData":{"DOI":"10.36407/akurasi.v2i3.251","abstract":"This study aims to determine the influence of Stock Trading Volume, Leverage, and Dividend Policy both simultaneously and partially from LQ45 Index companies listed on the Indonesia Stock Exchange in 2016-2018. The analysis technique used is multiple linear regression analysis using the IBM SPSS 26 program. This type of research is a quantitative study using secondary data, there are 18 companies as a sample of research data collected by purposive sampling technique. The dependent variable in this study is Stock Price Volatility, while the independent variables are Stock Trading Volume, Leverage, and Dividend Policy. The results showed that partially Stock Trading Volume has a positive and significant effect on Stock Price Volatility. Leverage and Dividend Policy have no significant effect on Stock Price Volatility. It is expected that the results of this study can be taken into consideration for investors to choose the right type of investment based on the level of stock price volatility that is influenced by various factors, especially stock trading volume..","author":[{"dropping-particle":"","family":"Septyadi","given":"Mario Ascaryo","non-dropping-particle":"","parse-names":false,"suffix":""},{"dropping-particle":"","family":"Bwarleling","given":"Theresia Hesti","non-dropping-particle":"","parse-names":false,"suffix":""}],"container-title":"AKURASI: Jurnal Riset Akuntansi dan Keuangan","id":"ITEM-1","issue":"3","issued":{"date-parts":[["2020"]]},"page":"149-162","title":"Pengaruh Volume Perdagangan Saham, Leverage, dan Kebijakan Dividen Terhadap Volatilitas Harga Saham","type":"article-journal","volume":"2"},"uris":["http://www.mendeley.com/documents/?uuid=65672913-eee1-4cd2-a0ff-a59f4ae72d9d","http://www.mendeley.com/documents/?uuid=b25dca7b-5cab-42d9-baae-c7778fbb2fe8"]}],"mendeley":{"formattedCitation":"(Septyadi &amp; Bwarleling, 2020)"},"properties":{"noteIndex":0},"schema":"https://github.com/citation-style-language/schema/raw/master/csl-citation.json"}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Septyadi &amp; Bwarleling, (2020)</w:t>
      </w:r>
      <w:r w:rsidRPr="000774C7">
        <w:rPr>
          <w:rFonts w:ascii="Palatino Linotype" w:hAnsi="Palatino Linotype"/>
          <w:noProof/>
        </w:rPr>
        <w:fldChar w:fldCharType="end"/>
      </w:r>
      <w:r w:rsidRPr="000774C7">
        <w:rPr>
          <w:rFonts w:ascii="Palatino Linotype" w:hAnsi="Palatino Linotype"/>
          <w:noProof/>
        </w:rPr>
        <w:t xml:space="preserve">, Signaling theory refers to information about a company's condition that executives must convey to potential investors. This theory explains why companies are motivated to provide financial statements to external parties.  Because dividend payments in cash are very expensive, companies must be able to generate sufficient cash.  Stock expenses can replace dividend payment costs. </w:t>
      </w:r>
    </w:p>
    <w:p w14:paraId="0DC7C0D8" w14:textId="549F2611" w:rsidR="002E2900" w:rsidRDefault="002E2900" w:rsidP="002E2900">
      <w:pPr>
        <w:ind w:firstLine="567"/>
        <w:jc w:val="both"/>
        <w:rPr>
          <w:rFonts w:ascii="Palatino Linotype" w:hAnsi="Palatino Linotype"/>
          <w:noProof/>
        </w:rPr>
      </w:pPr>
      <w:r w:rsidRPr="000774C7">
        <w:rPr>
          <w:rFonts w:ascii="Palatino Linotype" w:hAnsi="Palatino Linotype"/>
          <w:noProof/>
        </w:rPr>
        <w:t>According to signaling theory, investors will be interested if high dividends indicate good prospects for the company. Research</w:t>
      </w:r>
      <w:r w:rsidRPr="000774C7">
        <w:rPr>
          <w:rFonts w:ascii="Palatino Linotype" w:hAnsi="Palatino Linotype"/>
          <w:noProof/>
        </w:rPr>
        <w:fldChar w:fldCharType="begin" w:fldLock="1"/>
      </w:r>
      <w:r w:rsidRPr="000774C7">
        <w:rPr>
          <w:rFonts w:ascii="Palatino Linotype" w:hAnsi="Palatino Linotype"/>
          <w:noProof/>
        </w:rPr>
        <w:instrText>ADDIN CSL_CITATION {"citationItems":[{"id":"ITEM-1","itemData":{"DOI":"10.1016/j.jclepro.2021.128416","ISSN":"09596526","abstract":"Companies have a particularly important role to play in achieving sustainable development, yet to do this they must transparently communicating their performance. The purpose of this study is to analyze the Sustainability Disclosure Practices of companies listed on the Colombian Stock Exchange by applying Signaling Theory dimensions - intent, necessity and camouflage - to the different economic sectors. A qualitative study was performed that involved examining the sustainability reports of 43 companies in 2018 by applying different content analysis techniques. The results show that industrial companies frequently 1) report their environmental practices, especially emissions management; 2) report economic practices exclusively in relation to their economic performance; and 3) report social practices that are focused on the development of their internal stakeholders. In this study, the most recurrently observed signal is intent, rather than necessity or camouflage. This research further contributes to extant literature by showing that camouflage signals can be categorized into two types: 1) those whereby organizations hide information and 2) those whereby organizations seek to highlight their attributes and achievements. The latter are not contemplated in Connelly's original proposal but were clearly found in this research.","author":[{"dropping-particle":"","family":"López-Santamaría","given":"Mónica","non-dropping-particle":"","parse-names":false,"suffix":""},{"dropping-particle":"","family":"Amaya","given":"Norbey","non-dropping-particle":"","parse-names":false,"suffix":""},{"dropping-particle":"","family":"Grueso Hinestroza","given":"Merlin Patricia","non-dropping-particle":"","parse-names":false,"suffix":""},{"dropping-particle":"","family":"Cuero","given":"Yonni Angel","non-dropping-particle":"","parse-names":false,"suffix":""}],"container-title":"Journal of Cleaner Production","id":"ITEM-1","issue":"August 2020","issued":{"date-parts":[["2021"]]},"title":"Sustainability disclosure practices as seen through the lens of the signaling theory: A study of companies listed on the Colombian Stock Exchange","type":"article-journal","volume":"317"},"uris":["http://www.mendeley.com/documents/?uuid=c9ec87b8-5249-4975-8afc-ba860e0afb7b","http://www.mendeley.com/documents/?uuid=be2c4982-9778-47cf-ba86-708f04347451"]}],"mendeley":{"formattedCitation":"(López-Santamaría et al., 2021)"},"properties":{"noteIndex":0},"schema":"https://github.com/citation-style-language/schema/raw/master/csl-citation.json"}</w:instrText>
      </w:r>
      <w:r w:rsidRPr="000774C7">
        <w:rPr>
          <w:rFonts w:ascii="Palatino Linotype" w:hAnsi="Palatino Linotype"/>
          <w:noProof/>
        </w:rPr>
        <w:fldChar w:fldCharType="separate"/>
      </w:r>
      <w:r w:rsidRPr="000774C7">
        <w:rPr>
          <w:rFonts w:ascii="Palatino Linotype" w:hAnsi="Palatino Linotype"/>
          <w:noProof/>
        </w:rPr>
        <w:t xml:space="preserve"> López-Santamaría et al., (2021)</w:t>
      </w:r>
      <w:r w:rsidRPr="000774C7">
        <w:rPr>
          <w:rFonts w:ascii="Palatino Linotype" w:hAnsi="Palatino Linotype"/>
          <w:noProof/>
        </w:rPr>
        <w:fldChar w:fldCharType="end"/>
      </w:r>
      <w:r w:rsidRPr="000774C7">
        <w:rPr>
          <w:rFonts w:ascii="Palatino Linotype" w:hAnsi="Palatino Linotype"/>
          <w:noProof/>
        </w:rPr>
        <w:t xml:space="preserve"> about signaling theory, companies must communicate their information needs to the market and stakeholders by sending signals about their commitment to society. In the strategic areas of management, HR management, and finance, signal theory is very important. In the last decade, signaling theory has become important for the analysis of sustainability practices. Because of this, a company provides information openly through financial statements as a reference or consideration for investors to analyze the desired company. In addition to political phenomena in a country, information in the form of financial statements will be a signal in making decisions when you want to buy shares. Financial statements describe the condition of a company</w:t>
      </w:r>
      <w:r>
        <w:rPr>
          <w:rFonts w:ascii="Palatino Linotype" w:hAnsi="Palatino Linotype"/>
          <w:noProof/>
        </w:rPr>
        <w:t>.</w:t>
      </w:r>
    </w:p>
    <w:p w14:paraId="433DD1F2" w14:textId="77777777" w:rsidR="002E2900" w:rsidRDefault="002E2900" w:rsidP="002E2900">
      <w:pPr>
        <w:ind w:firstLine="567"/>
        <w:jc w:val="both"/>
        <w:rPr>
          <w:rFonts w:ascii="Palatino Linotype" w:hAnsi="Palatino Linotype"/>
          <w:noProof/>
        </w:rPr>
      </w:pPr>
    </w:p>
    <w:p w14:paraId="205D1704" w14:textId="77777777" w:rsidR="00261EE4" w:rsidRDefault="00261EE4">
      <w:pPr>
        <w:pBdr>
          <w:top w:val="nil"/>
          <w:left w:val="nil"/>
          <w:bottom w:val="nil"/>
          <w:right w:val="nil"/>
          <w:between w:val="nil"/>
        </w:pBdr>
        <w:ind w:firstLine="567"/>
        <w:jc w:val="both"/>
        <w:rPr>
          <w:rFonts w:ascii="Palatino Linotype" w:eastAsia="Palatino Linotype" w:hAnsi="Palatino Linotype" w:cs="Palatino Linotype"/>
          <w:color w:val="000000"/>
          <w:sz w:val="22"/>
          <w:szCs w:val="22"/>
        </w:rPr>
      </w:pPr>
    </w:p>
    <w:p w14:paraId="2E48B7D1" w14:textId="77777777" w:rsidR="00261EE4" w:rsidRDefault="00000000">
      <w:pPr>
        <w:spacing w:after="120"/>
        <w:jc w:val="both"/>
        <w:rPr>
          <w:rFonts w:ascii="Palatino Linotype" w:eastAsia="Palatino Linotype" w:hAnsi="Palatino Linotype" w:cs="Palatino Linotype"/>
          <w:b/>
        </w:rPr>
      </w:pPr>
      <w:r>
        <w:rPr>
          <w:rFonts w:ascii="Palatino Linotype" w:eastAsia="Palatino Linotype" w:hAnsi="Palatino Linotype" w:cs="Palatino Linotype"/>
          <w:b/>
        </w:rPr>
        <w:t>Method</w:t>
      </w:r>
      <w:bookmarkStart w:id="3" w:name="bookmark=id.3dy6vkm" w:colFirst="0" w:colLast="0"/>
      <w:bookmarkEnd w:id="3"/>
    </w:p>
    <w:p w14:paraId="5306FF9F" w14:textId="23F06EFC" w:rsidR="002E2900" w:rsidRPr="002E2900" w:rsidRDefault="002E2900" w:rsidP="002E2900">
      <w:pPr>
        <w:ind w:firstLine="567"/>
        <w:jc w:val="both"/>
        <w:rPr>
          <w:rFonts w:ascii="Palatino Linotype" w:eastAsia="Palatino Linotype" w:hAnsi="Palatino Linotype" w:cs="Palatino Linotype"/>
          <w:sz w:val="22"/>
          <w:szCs w:val="22"/>
        </w:rPr>
      </w:pPr>
      <w:r w:rsidRPr="000774C7">
        <w:rPr>
          <w:rFonts w:ascii="Palatino Linotype" w:hAnsi="Palatino Linotype"/>
          <w:bCs/>
        </w:rPr>
        <w:t xml:space="preserve">This research is included in quantitative research like Empire by collecting, analyzing, and presenting data in the form of numbers, and tables. The population </w:t>
      </w:r>
      <w:r w:rsidRPr="000774C7">
        <w:rPr>
          <w:rFonts w:ascii="Palatino Linotype" w:hAnsi="Palatino Linotype"/>
          <w:bCs/>
        </w:rPr>
        <w:lastRenderedPageBreak/>
        <w:t xml:space="preserve">of the infrastructure &amp; transportation company sector is listed on the Indonesia Stock Exchange (IDX). Based on the population of the sector, samples were obtained using </w:t>
      </w:r>
      <w:r w:rsidRPr="000774C7">
        <w:rPr>
          <w:rFonts w:ascii="Palatino Linotype" w:hAnsi="Palatino Linotype"/>
          <w:bCs/>
          <w:i/>
          <w:iCs/>
        </w:rPr>
        <w:t>purposive sampling</w:t>
      </w:r>
      <w:r w:rsidRPr="000774C7">
        <w:rPr>
          <w:rFonts w:ascii="Palatino Linotype" w:hAnsi="Palatino Linotype"/>
          <w:bCs/>
        </w:rPr>
        <w:t xml:space="preserve"> techniques based on criteria companies listed on the stock exchange in 2020-2024, financial statements published by companies in 2020-2024, and companies that regularly distributed dividends in 2020-2024. And obtained research samples from as many as 12 companies. This research data is secondary data; it comes from the annual financial statements of the Indonesia stock exchange, which is highly trusted. from the infrastructure and transportation company sector for the period 2020-2024. In analyzing the data in the form of financial statements that can be accessed at the </w:t>
      </w:r>
      <w:r w:rsidRPr="000774C7">
        <w:rPr>
          <w:rFonts w:ascii="Palatino Linotype" w:hAnsi="Palatino Linotype"/>
          <w:bCs/>
          <w:i/>
          <w:iCs/>
        </w:rPr>
        <w:t xml:space="preserve">website </w:t>
      </w:r>
      <w:hyperlink r:id="rId12" w:history="1">
        <w:r w:rsidRPr="000774C7">
          <w:rPr>
            <w:rStyle w:val="Hyperlink"/>
            <w:rFonts w:ascii="Palatino Linotype" w:eastAsiaTheme="majorEastAsia" w:hAnsi="Palatino Linotype"/>
            <w:bCs/>
          </w:rPr>
          <w:t>www.idx.co.id</w:t>
        </w:r>
      </w:hyperlink>
      <w:r w:rsidRPr="000774C7">
        <w:rPr>
          <w:rFonts w:ascii="Palatino Linotype" w:hAnsi="Palatino Linotype"/>
          <w:bCs/>
        </w:rPr>
        <w:t>. This study uses influence analysis, namely multiple linear regression using the SPSS.24 analysis tool which is used to provide assumptions or predictions in the future by considering past data. The multiple regression method is used to calculate how much the independent variable has an impact on one dependent variable. Here are the similarities:</w:t>
      </w:r>
    </w:p>
    <w:p w14:paraId="4E895B51" w14:textId="77777777" w:rsidR="002E2900" w:rsidRPr="000774C7" w:rsidRDefault="002E2900" w:rsidP="002E2900">
      <w:pPr>
        <w:jc w:val="both"/>
        <w:rPr>
          <w:rFonts w:ascii="Palatino Linotype" w:hAnsi="Palatino Linotype"/>
          <w:bCs/>
        </w:rPr>
      </w:pPr>
    </w:p>
    <w:p w14:paraId="06810321" w14:textId="77777777" w:rsidR="002E2900" w:rsidRPr="000774C7" w:rsidRDefault="002E2900" w:rsidP="002E2900">
      <w:pPr>
        <w:jc w:val="center"/>
        <w:rPr>
          <w:rFonts w:ascii="Palatino Linotype" w:hAnsi="Palatino Linotype"/>
          <w:bCs/>
        </w:rPr>
      </w:pPr>
      <w:r w:rsidRPr="000774C7">
        <w:rPr>
          <w:rFonts w:ascii="Palatino Linotype" w:hAnsi="Palatino Linotype"/>
          <w:bCs/>
        </w:rPr>
        <w:t>Y = α+ β1X1 + β2X2 + β3X3 + e</w:t>
      </w:r>
    </w:p>
    <w:p w14:paraId="1E61AE28" w14:textId="77777777" w:rsidR="002E2900" w:rsidRPr="000774C7" w:rsidRDefault="002E2900" w:rsidP="002E2900">
      <w:pPr>
        <w:jc w:val="both"/>
        <w:rPr>
          <w:rFonts w:ascii="Palatino Linotype" w:hAnsi="Palatino Linotype"/>
          <w:bCs/>
        </w:rPr>
      </w:pPr>
      <w:r w:rsidRPr="000774C7">
        <w:rPr>
          <w:rFonts w:ascii="Palatino Linotype" w:hAnsi="Palatino Linotype"/>
          <w:bCs/>
        </w:rPr>
        <w:t>Information:</w:t>
      </w:r>
    </w:p>
    <w:p w14:paraId="2462EB9B" w14:textId="77777777" w:rsidR="002E2900" w:rsidRPr="000774C7" w:rsidRDefault="002E2900" w:rsidP="002E2900">
      <w:pPr>
        <w:jc w:val="both"/>
        <w:rPr>
          <w:rFonts w:ascii="Palatino Linotype" w:hAnsi="Palatino Linotype"/>
          <w:bCs/>
        </w:rPr>
      </w:pPr>
      <w:r w:rsidRPr="000774C7">
        <w:rPr>
          <w:rFonts w:ascii="Palatino Linotype" w:hAnsi="Palatino Linotype"/>
          <w:bCs/>
        </w:rPr>
        <w:t>Y</w:t>
      </w:r>
      <w:r w:rsidRPr="000774C7">
        <w:rPr>
          <w:rFonts w:ascii="Palatino Linotype" w:hAnsi="Palatino Linotype"/>
          <w:bCs/>
        </w:rPr>
        <w:tab/>
      </w:r>
      <w:r w:rsidRPr="000774C7">
        <w:rPr>
          <w:rFonts w:ascii="Palatino Linotype" w:hAnsi="Palatino Linotype"/>
          <w:bCs/>
        </w:rPr>
        <w:tab/>
        <w:t>= Share Price</w:t>
      </w:r>
    </w:p>
    <w:p w14:paraId="01F56032" w14:textId="77777777" w:rsidR="002E2900" w:rsidRPr="000774C7" w:rsidRDefault="002E2900" w:rsidP="002E2900">
      <w:pPr>
        <w:jc w:val="both"/>
        <w:rPr>
          <w:rFonts w:ascii="Palatino Linotype" w:hAnsi="Palatino Linotype"/>
          <w:bCs/>
        </w:rPr>
      </w:pPr>
      <w:r w:rsidRPr="000774C7">
        <w:rPr>
          <w:rFonts w:ascii="Palatino Linotype" w:hAnsi="Palatino Linotype"/>
          <w:bCs/>
        </w:rPr>
        <w:t xml:space="preserve">α </w:t>
      </w:r>
      <w:r w:rsidRPr="000774C7">
        <w:rPr>
          <w:rFonts w:ascii="Palatino Linotype" w:hAnsi="Palatino Linotype"/>
          <w:bCs/>
        </w:rPr>
        <w:tab/>
      </w:r>
      <w:r w:rsidRPr="000774C7">
        <w:rPr>
          <w:rFonts w:ascii="Palatino Linotype" w:hAnsi="Palatino Linotype"/>
          <w:bCs/>
        </w:rPr>
        <w:tab/>
        <w:t>= Constant</w:t>
      </w:r>
    </w:p>
    <w:p w14:paraId="3D780B32" w14:textId="77777777" w:rsidR="002E2900" w:rsidRPr="000774C7" w:rsidRDefault="002E2900" w:rsidP="002E2900">
      <w:pPr>
        <w:jc w:val="both"/>
        <w:rPr>
          <w:rFonts w:ascii="Palatino Linotype" w:hAnsi="Palatino Linotype"/>
          <w:bCs/>
        </w:rPr>
      </w:pPr>
      <w:r w:rsidRPr="000774C7">
        <w:rPr>
          <w:rFonts w:ascii="Palatino Linotype" w:hAnsi="Palatino Linotype"/>
          <w:bCs/>
        </w:rPr>
        <w:t>β1, β2, β3</w:t>
      </w:r>
      <w:r w:rsidRPr="000774C7">
        <w:rPr>
          <w:rFonts w:ascii="Palatino Linotype" w:hAnsi="Palatino Linotype"/>
          <w:bCs/>
        </w:rPr>
        <w:tab/>
        <w:t>= Regression coefficient of independent variable</w:t>
      </w:r>
    </w:p>
    <w:p w14:paraId="41525D60" w14:textId="77777777" w:rsidR="002E2900" w:rsidRPr="000774C7" w:rsidRDefault="002E2900" w:rsidP="002E2900">
      <w:pPr>
        <w:jc w:val="both"/>
        <w:rPr>
          <w:rFonts w:ascii="Palatino Linotype" w:hAnsi="Palatino Linotype"/>
          <w:bCs/>
        </w:rPr>
      </w:pPr>
      <w:r w:rsidRPr="000774C7">
        <w:rPr>
          <w:rFonts w:ascii="Palatino Linotype" w:hAnsi="Palatino Linotype"/>
          <w:bCs/>
        </w:rPr>
        <w:t>X1</w:t>
      </w:r>
      <w:r w:rsidRPr="000774C7">
        <w:rPr>
          <w:rFonts w:ascii="Palatino Linotype" w:hAnsi="Palatino Linotype"/>
          <w:bCs/>
        </w:rPr>
        <w:tab/>
      </w:r>
      <w:r w:rsidRPr="000774C7">
        <w:rPr>
          <w:rFonts w:ascii="Palatino Linotype" w:hAnsi="Palatino Linotype"/>
          <w:bCs/>
        </w:rPr>
        <w:tab/>
        <w:t xml:space="preserve">= inflation </w:t>
      </w:r>
    </w:p>
    <w:p w14:paraId="0FD4FF0C" w14:textId="77777777" w:rsidR="002E2900" w:rsidRPr="000774C7" w:rsidRDefault="002E2900" w:rsidP="002E2900">
      <w:pPr>
        <w:jc w:val="both"/>
        <w:rPr>
          <w:rFonts w:ascii="Palatino Linotype" w:hAnsi="Palatino Linotype"/>
          <w:bCs/>
        </w:rPr>
      </w:pPr>
      <w:r w:rsidRPr="000774C7">
        <w:rPr>
          <w:rFonts w:ascii="Palatino Linotype" w:hAnsi="Palatino Linotype"/>
          <w:bCs/>
        </w:rPr>
        <w:t>X2</w:t>
      </w:r>
      <w:r w:rsidRPr="000774C7">
        <w:rPr>
          <w:rFonts w:ascii="Palatino Linotype" w:hAnsi="Palatino Linotype"/>
          <w:bCs/>
        </w:rPr>
        <w:tab/>
      </w:r>
      <w:r w:rsidRPr="000774C7">
        <w:rPr>
          <w:rFonts w:ascii="Palatino Linotype" w:hAnsi="Palatino Linotype"/>
          <w:bCs/>
        </w:rPr>
        <w:tab/>
        <w:t>= interest rate</w:t>
      </w:r>
    </w:p>
    <w:p w14:paraId="79493AA9" w14:textId="77777777" w:rsidR="002E2900" w:rsidRPr="000774C7" w:rsidRDefault="002E2900" w:rsidP="002E2900">
      <w:pPr>
        <w:jc w:val="both"/>
        <w:rPr>
          <w:rFonts w:ascii="Palatino Linotype" w:hAnsi="Palatino Linotype"/>
          <w:bCs/>
        </w:rPr>
      </w:pPr>
      <w:r w:rsidRPr="000774C7">
        <w:rPr>
          <w:rFonts w:ascii="Palatino Linotype" w:hAnsi="Palatino Linotype"/>
          <w:bCs/>
        </w:rPr>
        <w:t>X3</w:t>
      </w:r>
      <w:r w:rsidRPr="000774C7">
        <w:rPr>
          <w:rFonts w:ascii="Palatino Linotype" w:hAnsi="Palatino Linotype"/>
          <w:bCs/>
        </w:rPr>
        <w:tab/>
      </w:r>
      <w:r w:rsidRPr="000774C7">
        <w:rPr>
          <w:rFonts w:ascii="Palatino Linotype" w:hAnsi="Palatino Linotype"/>
          <w:bCs/>
        </w:rPr>
        <w:tab/>
        <w:t>= Dividend Policy</w:t>
      </w:r>
    </w:p>
    <w:p w14:paraId="095C544B" w14:textId="77777777" w:rsidR="002E2900" w:rsidRPr="000774C7" w:rsidRDefault="002E2900" w:rsidP="002E2900">
      <w:pPr>
        <w:jc w:val="both"/>
        <w:rPr>
          <w:rFonts w:ascii="Palatino Linotype" w:hAnsi="Palatino Linotype"/>
          <w:bCs/>
        </w:rPr>
      </w:pPr>
      <w:r w:rsidRPr="000774C7">
        <w:rPr>
          <w:rFonts w:ascii="Palatino Linotype" w:hAnsi="Palatino Linotype"/>
          <w:bCs/>
        </w:rPr>
        <w:t>e</w:t>
      </w:r>
      <w:r w:rsidRPr="000774C7">
        <w:rPr>
          <w:rFonts w:ascii="Palatino Linotype" w:hAnsi="Palatino Linotype"/>
          <w:bCs/>
        </w:rPr>
        <w:tab/>
      </w:r>
      <w:r w:rsidRPr="000774C7">
        <w:rPr>
          <w:rFonts w:ascii="Palatino Linotype" w:hAnsi="Palatino Linotype"/>
          <w:bCs/>
        </w:rPr>
        <w:tab/>
        <w:t>= Error Term</w:t>
      </w:r>
    </w:p>
    <w:p w14:paraId="2F14FBA7" w14:textId="60550C8B" w:rsidR="002E2900" w:rsidRPr="009D7BB6" w:rsidRDefault="002E2900" w:rsidP="009D7BB6">
      <w:pPr>
        <w:ind w:firstLine="567"/>
        <w:jc w:val="both"/>
        <w:rPr>
          <w:rFonts w:ascii="Palatino Linotype" w:hAnsi="Palatino Linotype"/>
          <w:bCs/>
        </w:rPr>
      </w:pPr>
      <w:r w:rsidRPr="000774C7">
        <w:rPr>
          <w:rFonts w:ascii="Palatino Linotype" w:hAnsi="Palatino Linotype"/>
          <w:bCs/>
        </w:rPr>
        <w:t xml:space="preserve">Dividend policy can be measured based on 2 measurements, namely </w:t>
      </w:r>
      <w:r w:rsidRPr="000774C7">
        <w:rPr>
          <w:rFonts w:ascii="Palatino Linotype" w:hAnsi="Palatino Linotype"/>
          <w:bCs/>
          <w:i/>
          <w:iCs/>
        </w:rPr>
        <w:t>dividend payout ratio (DPR)</w:t>
      </w:r>
      <w:r w:rsidRPr="000774C7">
        <w:rPr>
          <w:rFonts w:ascii="Palatino Linotype" w:hAnsi="Palatino Linotype"/>
          <w:bCs/>
        </w:rPr>
        <w:t xml:space="preserve"> and </w:t>
      </w:r>
      <w:r w:rsidRPr="000774C7">
        <w:rPr>
          <w:rFonts w:ascii="Palatino Linotype" w:hAnsi="Palatino Linotype"/>
          <w:bCs/>
          <w:i/>
          <w:iCs/>
        </w:rPr>
        <w:t>dividend yield (DY)</w:t>
      </w:r>
      <w:r w:rsidRPr="000774C7">
        <w:rPr>
          <w:rFonts w:ascii="Palatino Linotype" w:hAnsi="Palatino Linotype"/>
          <w:bCs/>
        </w:rPr>
        <w:t xml:space="preserve">. The measurement used in this study is dividend yield. </w:t>
      </w:r>
      <w:r w:rsidRPr="000774C7">
        <w:rPr>
          <w:rFonts w:ascii="Palatino Linotype" w:hAnsi="Palatino Linotype"/>
          <w:bCs/>
        </w:rPr>
        <w:fldChar w:fldCharType="begin" w:fldLock="1"/>
      </w:r>
      <w:r w:rsidRPr="000774C7">
        <w:rPr>
          <w:rFonts w:ascii="Palatino Linotype" w:hAnsi="Palatino Linotype"/>
          <w:bCs/>
        </w:rPr>
        <w:instrText>ADDIN CSL_CITATION {"citationItems":[{"id":"ITEM-1","itemData":{"DOI":"10.31004/joe.v5i2.1238","ISSN":"2655-1365","abstract":"The purpose of this study is to determine the effect of the Dividend Payout Ratio (DPR) on stock prices. To determine the effect of Dividend Yield (DY) on Stock Prices. To determine the effect of the Dividend Payout Ratio (DPR) and Dividend Yield (DY) simultaneously on stock prices. This study uses secondary data in the form of company financial reports. Sampling using purposive sampling. Data analysis used the classical assumption test, multiple linear regression test. The population in this study are manufacturing companies in the food and beverage sector which are listed on the Indonesia Stock Exchange for the 2017-2020 period with a total sample of 11 companies. Data processing in this study uses the SPSS Software Program (Statistics Package for the Social Science) 25. Based on the research conducted, it can be concluded that the results of the first hypothesis test show that the Dividend Payout Ratio (X1) has a significant effect on Stock Price (Y) with a tcount value &gt; ttable (2.928 &gt; 1.6838), and a significant value of 0.006 &lt;0.05 . The results of testing the second hypothesis show that dividend yield (X2) has a significant effect on stock price (Y) with tcount &gt; ttable (3.442 &gt; 1.6838), and a significant value of 0.001 &lt;0.05. The results of the third hypothesis test show that the Dividend Payout Ratio (X1) and Dividend Yield (X2) simultaneously have a significant effect on stock prices (Y), with a value of Fcount &gt; Ftable (41,253 &gt; 2,839) and a significant 0.000 &lt;0.05.","author":[{"dropping-particle":"","family":"Anggeraini","given":"Faulia","non-dropping-particle":"","parse-names":false,"suffix":""},{"dropping-particle":"","family":"Triana","given":"Windi","non-dropping-particle":"","parse-names":false,"suffix":""}],"container-title":"Journal on Education","id":"ITEM-1","issue":"2","issued":{"date-parts":[["2023"]]},"page":"5063-5076","title":"Pengaruh Kebijakan Dividen terhadap Harga Saham pada Perusahaan Makanan dan Minuman yang Terdaftar di Bursa Efek Indonesia","type":"article-journal","volume":"5"},"uris":["http://www.mendeley.com/documents/?uuid=bccae80c-7de2-4e1f-ab07-abd49555b87d"]}],"mendeley":{"formattedCitation":"(Anggeraini &amp; Triana, 2023)","plainTextFormattedCitation":"(Anggeraini &amp; Triana, 2023)","previouslyFormattedCitation":"(Anggeraini &amp; Triana, 2023)"},"properties":{"noteIndex":0},"schema":"https://github.com/citation-style-language/schema/raw/master/csl-citation.json"}</w:instrText>
      </w:r>
      <w:r w:rsidRPr="000774C7">
        <w:rPr>
          <w:rFonts w:ascii="Palatino Linotype" w:hAnsi="Palatino Linotype"/>
          <w:bCs/>
        </w:rPr>
        <w:fldChar w:fldCharType="separate"/>
      </w:r>
      <w:r w:rsidRPr="000774C7">
        <w:rPr>
          <w:rFonts w:ascii="Palatino Linotype" w:hAnsi="Palatino Linotype"/>
          <w:bCs/>
          <w:noProof/>
        </w:rPr>
        <w:t>(Anggeraini &amp;; Triana, 2023)</w:t>
      </w:r>
      <w:r w:rsidRPr="000774C7">
        <w:rPr>
          <w:rFonts w:ascii="Palatino Linotype" w:hAnsi="Palatino Linotype"/>
          <w:bCs/>
        </w:rPr>
        <w:fldChar w:fldCharType="end"/>
      </w:r>
      <w:r w:rsidRPr="000774C7">
        <w:rPr>
          <w:rFonts w:ascii="Palatino Linotype" w:hAnsi="Palatino Linotype"/>
          <w:bCs/>
        </w:rPr>
        <w:t xml:space="preserve"> Dividend yield (DY) is a ratio that shows how much dividend can be generated from investing in stocks. DY links the amount of dividends to the company's share price. Dividend yield (DY), which can be formulated mathematically as follows, is a ratio used to determine the amount of return received per share</w:t>
      </w:r>
      <w:r w:rsidR="009D7BB6">
        <w:rPr>
          <w:rFonts w:ascii="Palatino Linotype" w:hAnsi="Palatino Linotype"/>
          <w:bCs/>
        </w:rPr>
        <w:t>.</w:t>
      </w:r>
    </w:p>
    <w:p w14:paraId="13BCCD91" w14:textId="02DCFCE4" w:rsidR="00261EE4" w:rsidRPr="00BB0ED9" w:rsidRDefault="00000000" w:rsidP="00BB0ED9">
      <w:pPr>
        <w:spacing w:before="360" w:after="120"/>
        <w:jc w:val="both"/>
        <w:rPr>
          <w:rFonts w:ascii="Palatino Linotype" w:eastAsia="Palatino Linotype" w:hAnsi="Palatino Linotype" w:cs="Palatino Linotype"/>
          <w:b/>
        </w:rPr>
      </w:pPr>
      <w:r>
        <w:rPr>
          <w:rFonts w:ascii="Palatino Linotype" w:eastAsia="Palatino Linotype" w:hAnsi="Palatino Linotype" w:cs="Palatino Linotype"/>
          <w:b/>
          <w:color w:val="000000"/>
        </w:rPr>
        <w:t>Results</w:t>
      </w:r>
      <w:r w:rsidR="00BB0ED9">
        <w:rPr>
          <w:rFonts w:ascii="Palatino Linotype" w:eastAsia="Palatino Linotype" w:hAnsi="Palatino Linotype" w:cs="Palatino Linotype"/>
          <w:b/>
          <w:color w:val="000000"/>
        </w:rPr>
        <w:t xml:space="preserve"> and </w:t>
      </w:r>
      <w:r w:rsidR="00BB0ED9">
        <w:rPr>
          <w:rFonts w:ascii="Palatino Linotype" w:eastAsia="Palatino Linotype" w:hAnsi="Palatino Linotype" w:cs="Palatino Linotype"/>
          <w:b/>
        </w:rPr>
        <w:t>Discussion</w:t>
      </w:r>
    </w:p>
    <w:p w14:paraId="4610A5E7" w14:textId="77777777" w:rsidR="002E2900" w:rsidRPr="00D93AAC" w:rsidRDefault="002E2900" w:rsidP="002E2900">
      <w:pPr>
        <w:jc w:val="both"/>
        <w:rPr>
          <w:rFonts w:ascii="Palatino Linotype" w:hAnsi="Palatino Linotype"/>
          <w:b/>
          <w:bCs/>
          <w:noProof/>
        </w:rPr>
      </w:pPr>
      <w:r w:rsidRPr="00D93AAC">
        <w:rPr>
          <w:rFonts w:ascii="Palatino Linotype" w:hAnsi="Palatino Linotype"/>
          <w:b/>
          <w:bCs/>
          <w:noProof/>
        </w:rPr>
        <w:t>The Effect of Inflation on The Share Price of Infrastructure and Transportation Companies</w:t>
      </w:r>
    </w:p>
    <w:p w14:paraId="07B96145" w14:textId="77777777" w:rsidR="002E2900" w:rsidRPr="00D93AAC" w:rsidRDefault="002E2900" w:rsidP="002E2900">
      <w:pPr>
        <w:ind w:firstLine="567"/>
        <w:jc w:val="both"/>
        <w:rPr>
          <w:rFonts w:ascii="Palatino Linotype" w:hAnsi="Palatino Linotype"/>
        </w:rPr>
      </w:pPr>
      <w:r w:rsidRPr="00D93AAC">
        <w:rPr>
          <w:rFonts w:ascii="Palatino Linotype" w:hAnsi="Palatino Linotype"/>
          <w:noProof/>
        </w:rPr>
        <w:t xml:space="preserve">Hypothesis testing tells the significant value of the inflation variable 0.561 &gt; 0.05; This tells us that variable inflation does not affect stock prices. This has in common with the results of </w:t>
      </w:r>
      <w:r w:rsidRPr="00D93AAC">
        <w:rPr>
          <w:rFonts w:ascii="Palatino Linotype" w:hAnsi="Palatino Linotype"/>
          <w:noProof/>
        </w:rPr>
        <w:fldChar w:fldCharType="begin" w:fldLock="1"/>
      </w:r>
      <w:r w:rsidRPr="00D93AAC">
        <w:rPr>
          <w:rFonts w:ascii="Palatino Linotype" w:hAnsi="Palatino Linotype"/>
          <w:noProof/>
        </w:rPr>
        <w:instrText>ADDIN CSL_CITATION {"citationItems":[{"id":"ITEM-1","itemData":{"DOI":"10.15548/al-masraf.v6i2.475","ISSN":"2528-5629","abstract":"… inflasi dan suku bunga. Penelitian ini bertujuan untuk mengetahui pengaruh inflasi dan suku bunga … sub sektor transportasi dan logistik pada masa pandemi Covid-19 yang terdaftar di …","author":[{"dropping-particle":"","family":"RASYAD","given":"FAZNIL HUSNA S.","non-dropping-particle":"","parse-names":false,"suffix":""},{"dropping-particle":"","family":"AGHSILNI","given":"AGHSILNI","non-dropping-particle":"","parse-names":false,"suffix":""},{"dropping-particle":"","family":"WISANGGARA","given":"RANGGA","non-dropping-particle":"","parse-names":false,"suffix":""}],"container-title":"Al-Masraf: Jurnal Lembaga Keuangan dan Perbankan","id":"ITEM-1","issue":"2","issued":{"date-parts":[["2021"]]},"page":"124","title":"Pengaruh Inflasi Dan Tingkat Suku Bunga Terhadap Harga Saham Perusahaan Pada Masa Pandemi Covid-19","type":"article-journal","volume":"6"},"uris":["http://www.mendeley.com/documents/?uuid=9431855c-255b-40a7-8d23-90ac1aa4148c"]}],"mendeley":{"formattedCitation":"(RASYAD et al., 2021)","plainTextFormattedCitation":"(RASYAD et al., 2021)","previouslyFormattedCitation":"(RASYAD et al., 2021)"},"properties":{"noteIndex":0},"schema":"https://github.com/citation-style-language/schema/raw/master/csl-citation.json"}</w:instrText>
      </w:r>
      <w:r w:rsidRPr="00D93AAC">
        <w:rPr>
          <w:rFonts w:ascii="Palatino Linotype" w:hAnsi="Palatino Linotype"/>
          <w:noProof/>
        </w:rPr>
        <w:fldChar w:fldCharType="separate"/>
      </w:r>
      <w:r w:rsidRPr="00D93AAC">
        <w:rPr>
          <w:rFonts w:ascii="Palatino Linotype" w:hAnsi="Palatino Linotype"/>
          <w:noProof/>
        </w:rPr>
        <w:t>(Rasyad et al., 2021)</w:t>
      </w:r>
      <w:r w:rsidRPr="00D93AAC">
        <w:rPr>
          <w:rFonts w:ascii="Palatino Linotype" w:hAnsi="Palatino Linotype"/>
          <w:noProof/>
        </w:rPr>
        <w:fldChar w:fldCharType="end"/>
      </w:r>
      <w:r w:rsidRPr="00D93AAC">
        <w:rPr>
          <w:rFonts w:ascii="Palatino Linotype" w:hAnsi="Palatino Linotype"/>
          <w:noProof/>
        </w:rPr>
        <w:t xml:space="preserve">, </w:t>
      </w:r>
      <w:r w:rsidRPr="00D93AAC">
        <w:rPr>
          <w:rFonts w:ascii="Palatino Linotype" w:hAnsi="Palatino Linotype"/>
          <w:noProof/>
        </w:rPr>
        <w:fldChar w:fldCharType="begin" w:fldLock="1"/>
      </w:r>
      <w:r w:rsidRPr="00D93AAC">
        <w:rPr>
          <w:rFonts w:ascii="Palatino Linotype" w:hAnsi="Palatino Linotype"/>
          <w:noProof/>
        </w:rPr>
        <w:instrText>ADDIN CSL_CITATION {"citationItems":[{"id":"ITEM-1","itemData":{"DOI":"10.33998/jumanage.2023.2.2.836","ISSN":"2828-1268","abstract":"Pengaruh inflasi terhadap harga saham perusahaan telah menjadi perdebatan yang kompleks di kalangan peneliti dan praktisi keuangan sehingga penelitian ini bertujuan untuk menganalisis pengaruh inflasi terhadap harga saham dan melihat peran Tata Kelola Perusahaan yang Baik (Good Corporate Governance) sebagai variabel moderasi pada Perusahaan Tekonologi selama Pandemi Covid-19.  Metode penelitian ini menggunakan data historis berupa data inflasi, laporan keuangan dan harga saham perusahaan Teknologi selama Pandemi Covid 19. Metode analisis data yang digunakan adalah regresi linera dengan bantuan SPSS 25 untuk menguji hubungan antara inflasi dan harga saham perusahaan dan peran moderasi GCG terhadap Harga Saham, Hasil penelitian ini menemukan bahwa selama pandemi Inflasi tidak memiliki pengaruh siginifikan terhadap harga saham, GCG memiliki pengaruh signifikan terhadap harga saham sedangkan variable komite audit, kepemilikian manajerial dan dewan komisaris tidak signifikan dalam memoderasi inflasi terhadap harga saham.","author":[{"dropping-particle":"","family":"Saputra","given":"Muhammad Haris","non-dropping-particle":"","parse-names":false,"suffix":""},{"dropping-particle":"","family":"Firmasari","given":"Puja","non-dropping-particle":"","parse-names":false,"suffix":""},{"dropping-particle":"","family":"Fadillah","given":"Yosi","non-dropping-particle":"","parse-names":false,"suffix":""},{"dropping-particle":"","family":"Suratno","given":"Eddy","non-dropping-particle":"","parse-names":false,"suffix":""},{"dropping-particle":"","family":"Kartika","given":"Yulia Dwi","non-dropping-particle":"","parse-names":false,"suffix":""},{"dropping-particle":"","family":"Lie","given":"Kanaya Puspita","non-dropping-particle":"","parse-names":false,"suffix":""}],"container-title":"Jurnal Ilmiah Manajemen dan Kewirausahaan (JUMANAGE)","id":"ITEM-1","issue":"2","issued":{"date-parts":[["2023"]]},"page":"191-201","title":"Optimalisasi Nilai Perusahan: Pengaruh Inflasi Terhadap Harga Saham Perusahaan Dengan Good Corporate Governance Sebagai Variabel Pemoderasi","type":"article-journal","volume":"2"},"uris":["http://www.mendeley.com/documents/?uuid=afb63464-316a-453b-8f0e-916cad6a4beb"]}],"mendeley":{"formattedCitation":"(Saputra et al., 2023)","plainTextFormattedCitation":"(Saputra et al., 2023)","previouslyFormattedCitation":"(Saputra et al., 2023)"},"properties":{"noteIndex":0},"schema":"https://github.com/citation-style-language/schema/raw/master/csl-citation.json"}</w:instrText>
      </w:r>
      <w:r w:rsidRPr="00D93AAC">
        <w:rPr>
          <w:rFonts w:ascii="Palatino Linotype" w:hAnsi="Palatino Linotype"/>
          <w:noProof/>
        </w:rPr>
        <w:fldChar w:fldCharType="separate"/>
      </w:r>
      <w:r w:rsidRPr="00D93AAC">
        <w:rPr>
          <w:rFonts w:ascii="Palatino Linotype" w:hAnsi="Palatino Linotype"/>
          <w:noProof/>
        </w:rPr>
        <w:t>(Saputra et al., 2023)</w:t>
      </w:r>
      <w:r w:rsidRPr="00D93AAC">
        <w:rPr>
          <w:rFonts w:ascii="Palatino Linotype" w:hAnsi="Palatino Linotype"/>
          <w:noProof/>
        </w:rPr>
        <w:fldChar w:fldCharType="end"/>
      </w:r>
      <w:r w:rsidRPr="00D93AAC">
        <w:rPr>
          <w:rFonts w:ascii="Palatino Linotype" w:hAnsi="Palatino Linotype"/>
          <w:noProof/>
        </w:rPr>
        <w:t xml:space="preserve">, and </w:t>
      </w:r>
      <w:r w:rsidRPr="00D93AAC">
        <w:rPr>
          <w:rFonts w:ascii="Palatino Linotype" w:hAnsi="Palatino Linotype"/>
          <w:noProof/>
        </w:rPr>
        <w:fldChar w:fldCharType="begin" w:fldLock="1"/>
      </w:r>
      <w:r w:rsidRPr="00D93AAC">
        <w:rPr>
          <w:rFonts w:ascii="Palatino Linotype" w:hAnsi="Palatino Linotype"/>
          <w:noProof/>
        </w:rPr>
        <w:instrText>ADDIN CSL_CITATION {"citationItems":[{"id":"ITEM-1","itemData":{"author":[{"dropping-particle":"","family":"Dwita Fardani","given":"Khuzaini","non-dropping-particle":"","parse-names":false,"suffix":""}],"id":"ITEM-1","issued":{"date-parts":[["2023"]]},"page":"1-15","title":"Pengaruh inflasi, nilai tukar, dan profitabilitas terhadap harga saham pada perusahaan food and beverage periode 2017-2021","type":"article-journal"},"uris":["http://www.mendeley.com/documents/?uuid=87b47510-e4af-49ce-80da-2fad2ad7b934"]}],"mendeley":{"formattedCitation":"(Dwita Fardani, 2023)","plainTextFormattedCitation":"(Dwita Fardani, 2023)","previouslyFormattedCitation":"(Dwita Fardani, 2023)"},"properties":{"noteIndex":0},"schema":"https://github.com/citation-style-language/schema/raw/master/csl-citation.json"}</w:instrText>
      </w:r>
      <w:r w:rsidRPr="00D93AAC">
        <w:rPr>
          <w:rFonts w:ascii="Palatino Linotype" w:hAnsi="Palatino Linotype"/>
          <w:noProof/>
        </w:rPr>
        <w:fldChar w:fldCharType="separate"/>
      </w:r>
      <w:r w:rsidRPr="00D93AAC">
        <w:rPr>
          <w:rFonts w:ascii="Palatino Linotype" w:hAnsi="Palatino Linotype"/>
          <w:noProof/>
        </w:rPr>
        <w:t>(Dwita Fardani, 2023)</w:t>
      </w:r>
      <w:r w:rsidRPr="00D93AAC">
        <w:rPr>
          <w:rFonts w:ascii="Palatino Linotype" w:hAnsi="Palatino Linotype"/>
          <w:noProof/>
        </w:rPr>
        <w:fldChar w:fldCharType="end"/>
      </w:r>
      <w:r w:rsidRPr="00D93AAC">
        <w:rPr>
          <w:rFonts w:ascii="Palatino Linotype" w:hAnsi="Palatino Linotype"/>
          <w:noProof/>
        </w:rPr>
        <w:t xml:space="preserve"> If the inflation variable does not influence the share price of infrastructure and transportation companies. The increase in the overall price of goods and services is known as inflation.  The reduction in investors' real income will be affected by a high inflation rate, while a decrease in inflation is a good signal </w:t>
      </w:r>
      <w:r w:rsidRPr="00D93AAC">
        <w:rPr>
          <w:rFonts w:ascii="Palatino Linotype" w:hAnsi="Palatino Linotype"/>
          <w:noProof/>
        </w:rPr>
        <w:lastRenderedPageBreak/>
        <w:t xml:space="preserve">for investors. This results in a decrease in the value of the business shares. From these results give a signal to investors that there is no need to worry about changes in stock prices from the ups and downs of a country's inflation An increase in inflation causes the value of a company to fall due to the increasing price of an item. Especially if the state continues to print money continuously and does not compensate with the strengthening of the rupiah currency, hyper-infiltration can occur. </w:t>
      </w:r>
      <w:r w:rsidRPr="00D93AAC">
        <w:rPr>
          <w:rFonts w:ascii="Palatino Linotype" w:hAnsi="Palatino Linotype"/>
        </w:rPr>
        <w:t>If inflation rises, business costs will increase, and this will have an impact on business profits. If inflation rises, business profits will fall, and investors will be less interested in investing, which can result in a drop in stock prices.</w:t>
      </w:r>
    </w:p>
    <w:p w14:paraId="6DD53914" w14:textId="77777777" w:rsidR="002E2900" w:rsidRPr="00D93AAC" w:rsidRDefault="002E2900" w:rsidP="002E2900">
      <w:pPr>
        <w:ind w:firstLine="567"/>
        <w:jc w:val="both"/>
        <w:rPr>
          <w:rFonts w:ascii="Palatino Linotype" w:hAnsi="Palatino Linotype"/>
          <w:noProof/>
        </w:rPr>
      </w:pPr>
    </w:p>
    <w:p w14:paraId="27FBAA21" w14:textId="77777777" w:rsidR="002E2900" w:rsidRPr="00D93AAC" w:rsidRDefault="002E2900" w:rsidP="002E2900">
      <w:pPr>
        <w:jc w:val="both"/>
        <w:rPr>
          <w:rFonts w:ascii="Palatino Linotype" w:hAnsi="Palatino Linotype"/>
          <w:b/>
          <w:bCs/>
          <w:noProof/>
        </w:rPr>
      </w:pPr>
      <w:r w:rsidRPr="00D93AAC">
        <w:rPr>
          <w:rFonts w:ascii="Palatino Linotype" w:hAnsi="Palatino Linotype"/>
          <w:b/>
          <w:bCs/>
          <w:noProof/>
        </w:rPr>
        <w:t>The Effect of Interest Rates on The Share Price of Infrastructure and Transportation Companies</w:t>
      </w:r>
    </w:p>
    <w:p w14:paraId="1A47A20E" w14:textId="534F7DAF" w:rsidR="002E2900" w:rsidRPr="00D93AAC" w:rsidRDefault="002E2900" w:rsidP="009D7BB6">
      <w:pPr>
        <w:ind w:firstLine="567"/>
        <w:jc w:val="both"/>
        <w:rPr>
          <w:rFonts w:ascii="Palatino Linotype" w:hAnsi="Palatino Linotype"/>
        </w:rPr>
      </w:pPr>
      <w:r w:rsidRPr="00D93AAC">
        <w:rPr>
          <w:rFonts w:ascii="Palatino Linotype" w:hAnsi="Palatino Linotype"/>
          <w:noProof/>
        </w:rPr>
        <w:t>Based on the results of the hypothesis test, the significant value of the interest rate variable is 0.278, &gt; 0.05; The value shows if the variable interest rate does not affect the stock price. The same results from</w:t>
      </w:r>
      <w:r w:rsidRPr="00D93AAC">
        <w:rPr>
          <w:rFonts w:ascii="Palatino Linotype" w:hAnsi="Palatino Linotype"/>
          <w:noProof/>
        </w:rPr>
        <w:fldChar w:fldCharType="begin" w:fldLock="1"/>
      </w:r>
      <w:r w:rsidRPr="00D93AAC">
        <w:rPr>
          <w:rFonts w:ascii="Palatino Linotype" w:hAnsi="Palatino Linotype"/>
          <w:noProof/>
        </w:rPr>
        <w:instrText>ADDIN CSL_CITATION {"citationItems":[{"id":"ITEM-1","itemData":{"DOI":"10.15548/al-masraf.v6i2.475","ISSN":"2528-5629","abstract":"… inflasi dan suku bunga. Penelitian ini bertujuan untuk mengetahui pengaruh inflasi dan suku bunga … sub sektor transportasi dan logistik pada masa pandemi Covid-19 yang terdaftar di …","author":[{"dropping-particle":"","family":"RASYAD","given":"FAZNIL HUSNA S.","non-dropping-particle":"","parse-names":false,"suffix":""},{"dropping-particle":"","family":"AGHSILNI","given":"AGHSILNI","non-dropping-particle":"","parse-names":false,"suffix":""},{"dropping-particle":"","family":"WISANGGARA","given":"RANGGA","non-dropping-particle":"","parse-names":false,"suffix":""}],"container-title":"Al-Masraf: Jurnal Lembaga Keuangan dan Perbankan","id":"ITEM-1","issue":"2","issued":{"date-parts":[["2021"]]},"page":"124","title":"Pengaruh Inflasi Dan Tingkat Suku Bunga Terhadap Harga Saham Perusahaan Pada Masa Pandemi Covid-19","type":"article-journal","volume":"6"},"uris":["http://www.mendeley.com/documents/?uuid=9431855c-255b-40a7-8d23-90ac1aa4148c"]}],"mendeley":{"formattedCitation":"(RASYAD et al., 2021)","plainTextFormattedCitation":"(RASYAD et al., 2021)","previouslyFormattedCitation":"(RASYAD et al., 2021)"},"properties":{"noteIndex":0},"schema":"https://github.com/citation-style-language/schema/raw/master/csl-citation.json"}</w:instrText>
      </w:r>
      <w:r w:rsidRPr="00D93AAC">
        <w:rPr>
          <w:rFonts w:ascii="Palatino Linotype" w:hAnsi="Palatino Linotype"/>
          <w:noProof/>
        </w:rPr>
        <w:fldChar w:fldCharType="separate"/>
      </w:r>
      <w:r w:rsidRPr="00D93AAC">
        <w:rPr>
          <w:rFonts w:ascii="Palatino Linotype" w:hAnsi="Palatino Linotype"/>
          <w:noProof/>
        </w:rPr>
        <w:t>(Rasyad et al., 2021)</w:t>
      </w:r>
      <w:r w:rsidRPr="00D93AAC">
        <w:rPr>
          <w:rFonts w:ascii="Palatino Linotype" w:hAnsi="Palatino Linotype"/>
          <w:noProof/>
        </w:rPr>
        <w:fldChar w:fldCharType="end"/>
      </w:r>
      <w:r w:rsidRPr="00D93AAC">
        <w:rPr>
          <w:rFonts w:ascii="Palatino Linotype" w:hAnsi="Palatino Linotype"/>
          <w:noProof/>
        </w:rPr>
        <w:t>,</w:t>
      </w:r>
      <w:r w:rsidRPr="00D93AAC">
        <w:rPr>
          <w:rFonts w:ascii="Palatino Linotype" w:hAnsi="Palatino Linotype"/>
          <w:noProof/>
        </w:rPr>
        <w:fldChar w:fldCharType="begin" w:fldLock="1"/>
      </w:r>
      <w:r w:rsidRPr="00D93AAC">
        <w:rPr>
          <w:rFonts w:ascii="Palatino Linotype" w:hAnsi="Palatino Linotype"/>
          <w:noProof/>
        </w:rPr>
        <w:instrText>ADDIN CSL_CITATION {"citationItems":[{"id":"ITEM-1","itemData":{"ISSN":"2622-1616","abstract":"Penelitian ini bertujuan untuk mengetahui pengaruh tingkat tingkat suku bunga dan nilai tukar rupiah secara parsial dan simultan terhadap harga saham sektor pertanian di BEI tahun 2016-2020. Jenis penelitian ini adalah penelitian kuantitatif. Populasi dalam penelitian ini adalah seluruh perusahaan sektor pertanian yang terdaftar di Bursa Efek Indonesia. Teknik pengambilan sampel yakni menggunakan purposive sampling. Sampel penelitian ini sebanyak 16 perusahaan selama lima tahun. Teknik analisis data menggunakan regresi linear berganda. Hasil penelitian menunjukkan bahwa secara simultan suku Bunga dan Nilai Tukar berpengaruh secara bersama-sama terhadap harga saham. Dan Secara parsial suku bunga (X1) memiliki nilai Thitung -0.221 dengan tingkat signifikansi 0,826 sehingga suku bunga tidak berpengaruh terhadap harga saham. Nilai tukar (X2) memiliki Nilai Thitung 10.363 dengan Tingkat Signifikansi 0,000 sehingga nilai tukar berpengaruh signifikan terhadap harga saham.","author":[{"dropping-particle":"","family":"Ishak","given":"Idham Masri","non-dropping-particle":"","parse-names":false,"suffix":""},{"dropping-particle":"","family":"Pakaya","given":"Srie Isnawaty","non-dropping-particle":"","parse-names":false,"suffix":""}],"container-title":"JAMBURA: Jurnal Ilmiah Manajemen dan Bisnis","id":"ITEM-1","issue":"1","issued":{"date-parts":[["2023"]]},"page":"491-496","title":"Pengaruh Suku Bunga Dan Nilai Tukar Terhadap Indeks Harga Saham Sektor Pertanian Di BEI Tahun 2016–2020","type":"article-journal","volume":"6"},"uris":["http://www.mendeley.com/documents/?uuid=90623317-385b-47d6-9303-118491c441b3"]}],"mendeley":{"formattedCitation":"(Ishak &amp; Pakaya, 2023)","plainTextFormattedCitation":"(Ishak &amp; Pakaya, 2023)","previouslyFormattedCitation":"(Ishak &amp; Pakaya, 2023)"},"properties":{"noteIndex":0},"schema":"https://github.com/citation-style-language/schema/raw/master/csl-citation.json"}</w:instrText>
      </w:r>
      <w:r w:rsidRPr="00D93AAC">
        <w:rPr>
          <w:rFonts w:ascii="Palatino Linotype" w:hAnsi="Palatino Linotype"/>
          <w:noProof/>
        </w:rPr>
        <w:fldChar w:fldCharType="separate"/>
      </w:r>
      <w:r w:rsidRPr="00D93AAC">
        <w:rPr>
          <w:rFonts w:ascii="Palatino Linotype" w:hAnsi="Palatino Linotype"/>
          <w:noProof/>
        </w:rPr>
        <w:t>(Isaac &amp; Pakaya, 2023)</w:t>
      </w:r>
      <w:r w:rsidRPr="00D93AAC">
        <w:rPr>
          <w:rFonts w:ascii="Palatino Linotype" w:hAnsi="Palatino Linotype"/>
          <w:noProof/>
        </w:rPr>
        <w:fldChar w:fldCharType="end"/>
      </w:r>
      <w:r w:rsidRPr="00D93AAC">
        <w:rPr>
          <w:rFonts w:ascii="Palatino Linotype" w:hAnsi="Palatino Linotype"/>
          <w:noProof/>
        </w:rPr>
        <w:t xml:space="preserve">, if variable interest rates do not influence the share price of infrastructure and transportation companies. Excessive interest rates can affect the value of a company's current cash flow, making investment opportunities less attractive. On the other hand, low-interest rates can boost the economy due to the intensity of rising fund flows, while interest rates that are too low will reduce budgets in the business world. The same is shown by variable interest rates that signal to investors about changes in stock prices if interest rates rise or fall. An increase in interest rates will only affect the products and services sold, but will not have an impact on changes in stock prices.  </w:t>
      </w:r>
      <w:r w:rsidRPr="00D93AAC">
        <w:rPr>
          <w:rFonts w:ascii="Palatino Linotype" w:hAnsi="Palatino Linotype"/>
        </w:rPr>
        <w:t>The entrepreneur will only make a deliberate investment if the return on investment exceeds the interest rate. For a certain period, the investment amount must correspond to the value of all investments above the yield. With lower interest rates, more companies will see a greater return on investment than interest rates. The lower the interest rate an entrepreneur has to pay, the more effort they can put in. The lower the interest rate, the more investors will invest.</w:t>
      </w:r>
    </w:p>
    <w:p w14:paraId="4920AFDA" w14:textId="77777777" w:rsidR="002E2900" w:rsidRPr="00D93AAC" w:rsidRDefault="002E2900" w:rsidP="002E2900">
      <w:pPr>
        <w:ind w:firstLine="567"/>
        <w:jc w:val="both"/>
        <w:rPr>
          <w:rFonts w:ascii="Palatino Linotype" w:hAnsi="Palatino Linotype"/>
          <w:noProof/>
        </w:rPr>
      </w:pPr>
    </w:p>
    <w:p w14:paraId="060723F4" w14:textId="77777777" w:rsidR="002E2900" w:rsidRPr="00D93AAC" w:rsidRDefault="002E2900" w:rsidP="002E2900">
      <w:pPr>
        <w:jc w:val="both"/>
        <w:rPr>
          <w:rFonts w:ascii="Palatino Linotype" w:hAnsi="Palatino Linotype"/>
          <w:b/>
          <w:bCs/>
          <w:noProof/>
        </w:rPr>
      </w:pPr>
      <w:r w:rsidRPr="00D93AAC">
        <w:rPr>
          <w:rFonts w:ascii="Palatino Linotype" w:hAnsi="Palatino Linotype"/>
          <w:b/>
          <w:bCs/>
          <w:noProof/>
        </w:rPr>
        <w:t xml:space="preserve">The Effect of </w:t>
      </w:r>
      <w:r w:rsidRPr="00D93AAC">
        <w:rPr>
          <w:rFonts w:ascii="Palatino Linotype" w:hAnsi="Palatino Linotype"/>
          <w:b/>
          <w:bCs/>
          <w:iCs/>
          <w:noProof/>
        </w:rPr>
        <w:t>Dividend Policy Dividend Yield</w:t>
      </w:r>
      <w:r w:rsidRPr="00D93AAC">
        <w:rPr>
          <w:rFonts w:ascii="Palatino Linotype" w:hAnsi="Palatino Linotype"/>
          <w:b/>
          <w:bCs/>
          <w:noProof/>
        </w:rPr>
        <w:t xml:space="preserve"> on The Share Price of Infrastructure and Transportation Companies</w:t>
      </w:r>
    </w:p>
    <w:p w14:paraId="5AFAEE61" w14:textId="77777777" w:rsidR="002E2900" w:rsidRPr="00D93AAC" w:rsidRDefault="002E2900" w:rsidP="002E2900">
      <w:pPr>
        <w:ind w:firstLine="567"/>
        <w:jc w:val="both"/>
        <w:rPr>
          <w:rFonts w:ascii="Palatino Linotype" w:hAnsi="Palatino Linotype"/>
          <w:noProof/>
        </w:rPr>
      </w:pPr>
      <w:r w:rsidRPr="00D93AAC">
        <w:rPr>
          <w:rFonts w:ascii="Palatino Linotype" w:hAnsi="Palatino Linotype"/>
          <w:noProof/>
        </w:rPr>
        <w:t xml:space="preserve">Based on the results of the hypothesis test, the significant value of the dividend policy variable is 0.004 &lt; 0.05, the value shows if the dividend policy variable affects the stock price. This has in common the results of  </w:t>
      </w:r>
      <w:r w:rsidRPr="00D93AAC">
        <w:rPr>
          <w:rFonts w:ascii="Palatino Linotype" w:hAnsi="Palatino Linotype"/>
          <w:noProof/>
        </w:rPr>
        <w:fldChar w:fldCharType="begin" w:fldLock="1"/>
      </w:r>
      <w:r w:rsidRPr="00D93AAC">
        <w:rPr>
          <w:rFonts w:ascii="Palatino Linotype" w:hAnsi="Palatino Linotype"/>
          <w:noProof/>
        </w:rPr>
        <w:instrText>ADDIN CSL_CITATION {"citationItems":[{"id":"ITEM-1","itemData":{"DOI":"10.33005/senapan.v1i2.150","abstract":"Abstract. The purpose of this study is to test and prove the effect of systematic risk and dividend policy on stock prices. The independent variables in this study are systematic risk and dividend policy. The dependent variable in this study is the stock price. The type in this study is quantitative approach. The research data used in this study is secondary data. The subjects in this study are manufacturing companies listed on the Indonesia Stock Exchange (IDX) in the 2015-2019 period. The sample in this study used a purposive sampling technique, namely the selection of samples based on certain criteria. Based on the purposive sampling technique, a total sample of 26 manufacturing companies was obtained. Data collection in this study uses documentation techniques in the form of annual financial reports of manufacturing companies listed on the Indonesia Stock Exchange (IDX) for the 2015-2019 period. The data in this study were analyzed using multiple linear regression analysis method. The data analysis technique in this study used the SPSS program. The results of this study indicate that systematic risk has no effect on stock prices. Meanwhile, dividend policy has an effect on stock prices.\r Keywords: dividend policy, systematic risk, stock prices\r  \r Abstrak. Tujuan penelitian ini yaitu untuk menguji dan membuktikan pengaruh risiko sistematis dan kebijakan dividen terhadap harga saham. Variabel independen dalam penelitian ini yaitu risiko sistematis dan kebijakan dividen. Variabel dependen pada penelitian ini yaitu harga saham. Jenis pada penelitian ini yaitu pendekatan kuantitatif. Data penelitian yang digunakan pada studi ini merupakan data sekunder. Subjek pada studi ini yaitu perusahaan manufaktur yang tercatat di Bursa Efek Indonesia (BEI) pada periode 2015-2019. Sampel pada studi ini menggunakan teknik purposive sampling yaitu pemilihan sampel berdasarkan kriteria tertentu. Berdasarkan teknik puposive sampling diperoleh sampel dengan total sebanyak 26 perusahaan manufaktur. Pengumpulan data pada penelitian ini menggunakan teknik dokumentasi yaitu berupa laporan keuangan tahunan perusahaan manufaktur yang tercatat di Bursa Efek Indonesia (BEI) periode 2015-2019. Data pada penelitian ini dianalisis menggunakan metode analisis regresi linier berganda. Teknik analisis data pada studi ini menggunakan program SPSS. Hasil Penelitian ini menunjukkan bahwa risiko sistematis tidak berpengaruh terhadap harga saham. Sedangkan, kebijakan dividen berpengaruh t…","author":[{"dropping-particle":"","family":"Sahupala","given":"Imelda Aprilla","non-dropping-particle":"","parse-names":false,"suffix":""},{"dropping-particle":"","family":"Andayani","given":"Sari","non-dropping-particle":"","parse-names":false,"suffix":""}],"container-title":"Seminar Nasional Akuntansi dan Call for Paper (SENAPAN)","id":"ITEM-1","issue":"2","issued":{"date-parts":[["2021"]]},"page":"770-779","title":"Pengaruh Risiko Sistematis Dan Kebijakan Dividen Terhadap Harga Saham","type":"article-journal","volume":"1"},"uris":["http://www.mendeley.com/documents/?uuid=042ab49c-3235-4a2f-92e0-4907665bc64b"]}],"mendeley":{"formattedCitation":"(Sahupala &amp; Andayani, 2021)","plainTextFormattedCitation":"(Sahupala &amp; Andayani, 2021)","previouslyFormattedCitation":"(Sahupala &amp; Andayani, 2021)"},"properties":{"noteIndex":0},"schema":"https://github.com/citation-style-language/schema/raw/master/csl-citation.json"}</w:instrText>
      </w:r>
      <w:r w:rsidRPr="00D93AAC">
        <w:rPr>
          <w:rFonts w:ascii="Palatino Linotype" w:hAnsi="Palatino Linotype"/>
          <w:noProof/>
        </w:rPr>
        <w:fldChar w:fldCharType="separate"/>
      </w:r>
      <w:r w:rsidRPr="00D93AAC">
        <w:rPr>
          <w:rFonts w:ascii="Palatino Linotype" w:hAnsi="Palatino Linotype"/>
          <w:noProof/>
        </w:rPr>
        <w:t>(Sahupala &amp;; Andayani, 2021)</w:t>
      </w:r>
      <w:r w:rsidRPr="00D93AAC">
        <w:rPr>
          <w:rFonts w:ascii="Palatino Linotype" w:hAnsi="Palatino Linotype"/>
          <w:noProof/>
        </w:rPr>
        <w:fldChar w:fldCharType="end"/>
      </w:r>
      <w:r w:rsidRPr="00D93AAC">
        <w:rPr>
          <w:rFonts w:ascii="Palatino Linotype" w:hAnsi="Palatino Linotype"/>
          <w:noProof/>
        </w:rPr>
        <w:t xml:space="preserve">, </w:t>
      </w:r>
      <w:r w:rsidRPr="00D93AAC">
        <w:rPr>
          <w:rFonts w:ascii="Palatino Linotype" w:hAnsi="Palatino Linotype"/>
          <w:noProof/>
        </w:rPr>
        <w:fldChar w:fldCharType="begin" w:fldLock="1"/>
      </w:r>
      <w:r w:rsidRPr="00D93AAC">
        <w:rPr>
          <w:rFonts w:ascii="Palatino Linotype" w:hAnsi="Palatino Linotype"/>
          <w:noProof/>
        </w:rPr>
        <w:instrText>ADDIN CSL_CITATION {"citationItems":[{"id":"ITEM-1","itemData":{"abstract":"Article History : The impact of the industrial revolution 4.0 and the Covid-19 pandemic Received 16 July - 2022 that occurred had an impact on the implementation of the digital Accepted 25 July - 2022 economy, it also provided opportunities and challenges for the economic Available Online sector. In this study, we will review the application of the implementation 31 July - 2022 of the digital economy to MSMEs, which can be an alternative solution to deal with these conditions. UMKM technology and digital business are defined as a type of venture involving the latest technology in its practices and development. The application of digital concepts in business development can create new business models, experiences and operational codes that will later help to influence consumerism in both products and services that are offered. From competition, networking and networking and are networked with umkm products advanced through classes and go international. This research is focused on UMKM in the culinary sector, namely a case study at the Rahma gift center in Kendalrejo Village which had previously been operating before the Covid-19 outbreak hit Indonesia.","author":[{"dropping-particle":"","family":"Purba","given":"Timotius Valentino","non-dropping-particle":"","parse-names":false,"suffix":""},{"dropping-particle":"","family":"Katharina","given":"Ninta","non-dropping-particle":"","parse-names":false,"suffix":""}],"container-title":"Jurnal Ekonomi dan Bisnis","id":"ITEM-1","issue":"1","issued":{"date-parts":[["2022"]]},"page":"49-58","title":"Pengaruh Risiko Bisnis, Ukuran Perusahaan, Pertumbuhan Penjualan, Kebijakan Dividen san Struktur Aset Terhadap Harga Saham Pada Perusahaan Manufaktur yang Terdaftar di Bursa Efek Indonesia Tahun 2017-2020","type":"article-journal","volume":"11"},"uris":["http://www.mendeley.com/documents/?uuid=7558c23e-4de4-48ef-9fa6-e3ea913ceefd"]}],"mendeley":{"formattedCitation":"(Purba &amp; Katharina, 2022)","plainTextFormattedCitation":"(Purba &amp; Katharina, 2022)","previouslyFormattedCitation":"(Purba &amp; Katharina, 2022)"},"properties":{"noteIndex":0},"schema":"https://github.com/citation-style-language/schema/raw/master/csl-citation.json"}</w:instrText>
      </w:r>
      <w:r w:rsidRPr="00D93AAC">
        <w:rPr>
          <w:rFonts w:ascii="Palatino Linotype" w:hAnsi="Palatino Linotype"/>
          <w:noProof/>
        </w:rPr>
        <w:fldChar w:fldCharType="separate"/>
      </w:r>
      <w:r w:rsidRPr="00D93AAC">
        <w:rPr>
          <w:rFonts w:ascii="Palatino Linotype" w:hAnsi="Palatino Linotype"/>
          <w:noProof/>
        </w:rPr>
        <w:t>(Ancient &amp; Katharina, 2022)</w:t>
      </w:r>
      <w:r w:rsidRPr="00D93AAC">
        <w:rPr>
          <w:rFonts w:ascii="Palatino Linotype" w:hAnsi="Palatino Linotype"/>
          <w:noProof/>
        </w:rPr>
        <w:fldChar w:fldCharType="end"/>
      </w:r>
      <w:r w:rsidRPr="00D93AAC">
        <w:rPr>
          <w:rFonts w:ascii="Palatino Linotype" w:hAnsi="Palatino Linotype"/>
          <w:noProof/>
        </w:rPr>
        <w:t xml:space="preserve">, </w:t>
      </w:r>
      <w:r w:rsidRPr="00D93AAC">
        <w:rPr>
          <w:rFonts w:ascii="Palatino Linotype" w:hAnsi="Palatino Linotype"/>
          <w:noProof/>
        </w:rPr>
        <w:fldChar w:fldCharType="begin" w:fldLock="1"/>
      </w:r>
      <w:r w:rsidRPr="00D93AAC">
        <w:rPr>
          <w:rFonts w:ascii="Palatino Linotype" w:hAnsi="Palatino Linotype"/>
          <w:noProof/>
        </w:rPr>
        <w:instrText>ADDIN CSL_CITATION {"citationItems":[{"id":"ITEM-1","itemData":{"DOI":"10.31004/joe.v5i2.1238","ISSN":"2655-1365","abstract":"The purpose of this study is to determine the effect of the Dividend Payout Ratio (DPR) on stock prices. To determine the effect of Dividend Yield (DY) on Stock Prices. To determine the effect of the Dividend Payout Ratio (DPR) and Dividend Yield (DY) simultaneously on stock prices. This study uses secondary data in the form of company financial reports. Sampling using purposive sampling. Data analysis used the classical assumption test, multiple linear regression test. The population in this study are manufacturing companies in the food and beverage sector which are listed on the Indonesia Stock Exchange for the 2017-2020 period with a total sample of 11 companies. Data processing in this study uses the SPSS Software Program (Statistics Package for the Social Science) 25. Based on the research conducted, it can be concluded that the results of the first hypothesis test show that the Dividend Payout Ratio (X1) has a significant effect on Stock Price (Y) with a tcount value &gt; ttable (2.928 &gt; 1.6838), and a significant value of 0.006 &lt;0.05 . The results of testing the second hypothesis show that dividend yield (X2) has a significant effect on stock price (Y) with tcount &gt; ttable (3.442 &gt; 1.6838), and a significant value of 0.001 &lt;0.05. The results of the third hypothesis test show that the Dividend Payout Ratio (X1) and Dividend Yield (X2) simultaneously have a significant effect on stock prices (Y), with a value of Fcount &gt; Ftable (41,253 &gt; 2,839) and a significant 0.000 &lt;0.05.","author":[{"dropping-particle":"","family":"Anggeraini","given":"Faulia","non-dropping-particle":"","parse-names":false,"suffix":""},{"dropping-particle":"","family":"Triana","given":"Windi","non-dropping-particle":"","parse-names":false,"suffix":""}],"container-title":"Journal on Education","id":"ITEM-1","issue":"2","issued":{"date-parts":[["2023"]]},"page":"5063-5076","title":"Pengaruh Kebijakan Dividen terhadap Harga Saham pada Perusahaan Makanan dan Minuman yang Terdaftar di Bursa Efek Indonesia","type":"article-journal","volume":"5"},"uris":["http://www.mendeley.com/documents/?uuid=bccae80c-7de2-4e1f-ab07-abd49555b87d"]}],"mendeley":{"formattedCitation":"(Anggeraini &amp; Triana, 2023)","plainTextFormattedCitation":"(Anggeraini &amp; Triana, 2023)","previouslyFormattedCitation":"(Anggeraini &amp; Triana, 2023)"},"properties":{"noteIndex":0},"schema":"https://github.com/citation-style-language/schema/raw/master/csl-citation.json"}</w:instrText>
      </w:r>
      <w:r w:rsidRPr="00D93AAC">
        <w:rPr>
          <w:rFonts w:ascii="Palatino Linotype" w:hAnsi="Palatino Linotype"/>
          <w:noProof/>
        </w:rPr>
        <w:fldChar w:fldCharType="separate"/>
      </w:r>
      <w:r w:rsidRPr="00D93AAC">
        <w:rPr>
          <w:rFonts w:ascii="Palatino Linotype" w:hAnsi="Palatino Linotype"/>
          <w:noProof/>
        </w:rPr>
        <w:t>(and Anggeraini &amp;; Triana, 2023)</w:t>
      </w:r>
      <w:r w:rsidRPr="00D93AAC">
        <w:rPr>
          <w:rFonts w:ascii="Palatino Linotype" w:hAnsi="Palatino Linotype"/>
          <w:noProof/>
        </w:rPr>
        <w:fldChar w:fldCharType="end"/>
      </w:r>
      <w:r w:rsidRPr="00D93AAC">
        <w:rPr>
          <w:rFonts w:ascii="Palatino Linotype" w:hAnsi="Palatino Linotype"/>
          <w:noProof/>
        </w:rPr>
        <w:t xml:space="preserve">. If the dividend policy variable affects the share price of infrastructure and transportation companies. A dividend policy is defined as the distribution of profits obtained by the company to shareholders and investors. Investor uncertainty can be overcome by stable dividends. Cyclical businesses can maintain a stable regular dividend record by paying additional dividends if profits are very high. However, many companies follow a payout ratio, raising dividends if they feel they can maintain high profits. </w:t>
      </w:r>
      <w:r w:rsidRPr="00D93AAC">
        <w:rPr>
          <w:rFonts w:ascii="Palatino Linotype" w:hAnsi="Palatino Linotype"/>
          <w:noProof/>
        </w:rPr>
        <w:lastRenderedPageBreak/>
        <w:t xml:space="preserve">The dividend policy variable measured by dividend yield shows signals related to changes in stock prices if the dividend yield increases. If investors want dividends, it can be seen from the percentage of dividend yield of a company. </w:t>
      </w:r>
      <w:r w:rsidRPr="00D93AAC">
        <w:rPr>
          <w:rFonts w:ascii="Palatino Linotype" w:hAnsi="Palatino Linotype"/>
        </w:rPr>
        <w:t>This research also shows that dividend distribution can be a consideration for investors to invest because dividend distribution is considered a good sign for investors who will invest in the company's opportunities in the future, so dividend policy affects the stock price.</w:t>
      </w:r>
    </w:p>
    <w:p w14:paraId="385593B7" w14:textId="77777777" w:rsidR="002E2900" w:rsidRDefault="002E2900" w:rsidP="00BB0ED9">
      <w:pPr>
        <w:ind w:firstLine="567"/>
        <w:jc w:val="both"/>
        <w:rPr>
          <w:rFonts w:ascii="Palatino Linotype" w:eastAsia="Palatino Linotype" w:hAnsi="Palatino Linotype" w:cs="Palatino Linotype"/>
        </w:rPr>
      </w:pPr>
    </w:p>
    <w:p w14:paraId="40842491" w14:textId="77777777" w:rsidR="00261EE4" w:rsidRDefault="00000000" w:rsidP="002E2900">
      <w:pPr>
        <w:spacing w:after="120"/>
        <w:jc w:val="both"/>
        <w:rPr>
          <w:rFonts w:ascii="Palatino Linotype" w:eastAsia="Palatino Linotype" w:hAnsi="Palatino Linotype" w:cs="Palatino Linotype"/>
          <w:b/>
          <w:color w:val="000000"/>
        </w:rPr>
      </w:pPr>
      <w:bookmarkStart w:id="4" w:name="bookmark=id.4d34og8" w:colFirst="0" w:colLast="0"/>
      <w:bookmarkEnd w:id="4"/>
      <w:r>
        <w:rPr>
          <w:rFonts w:ascii="Palatino Linotype" w:eastAsia="Palatino Linotype" w:hAnsi="Palatino Linotype" w:cs="Palatino Linotype"/>
          <w:b/>
          <w:color w:val="000000"/>
        </w:rPr>
        <w:t xml:space="preserve">Conclusion </w:t>
      </w:r>
    </w:p>
    <w:p w14:paraId="1BA7F621" w14:textId="36916BF3" w:rsidR="009D7BB6" w:rsidRDefault="009D7BB6" w:rsidP="009D7BB6">
      <w:pPr>
        <w:pBdr>
          <w:top w:val="nil"/>
          <w:left w:val="nil"/>
          <w:bottom w:val="nil"/>
          <w:right w:val="nil"/>
          <w:between w:val="nil"/>
        </w:pBdr>
        <w:ind w:firstLine="567"/>
        <w:jc w:val="both"/>
        <w:rPr>
          <w:rFonts w:ascii="Palatino Linotype" w:eastAsia="Palatino Linotype" w:hAnsi="Palatino Linotype" w:cs="Palatino Linotype"/>
          <w:color w:val="000000"/>
          <w:sz w:val="22"/>
          <w:szCs w:val="22"/>
        </w:rPr>
      </w:pPr>
      <w:bookmarkStart w:id="5" w:name="_Hlk154436085"/>
      <w:r w:rsidRPr="007B6E76">
        <w:rPr>
          <w:rFonts w:ascii="Palatino Linotype" w:hAnsi="Palatino Linotype"/>
          <w:noProof/>
        </w:rPr>
        <w:t>Based on this study, whether there is an influence between inflation, interest rate, and dividend policy variables has been presented. Testing from the analysis and discussion, researchers the research conclude that inflation does not affect all the stock prices of infrastructure and transportation companies in 2020-2022. This indicates that if inflation goes up and down, it will not affect the company's stock price at all. Interest rates do not affect the share price of infrastructure and transportation companies in 2020-202</w:t>
      </w:r>
      <w:r>
        <w:rPr>
          <w:rFonts w:ascii="Palatino Linotype" w:hAnsi="Palatino Linotype"/>
          <w:noProof/>
        </w:rPr>
        <w:t>4</w:t>
      </w:r>
      <w:r w:rsidRPr="007B6E76">
        <w:rPr>
          <w:rFonts w:ascii="Palatino Linotype" w:hAnsi="Palatino Linotype"/>
          <w:noProof/>
        </w:rPr>
        <w:t>. This shows that even if interest rates decrease or increase, it will not have an impact on the company's stock price. Dividend policy influences the share price of infrastructure and transportation companies in 2020-202</w:t>
      </w:r>
      <w:r>
        <w:rPr>
          <w:rFonts w:ascii="Palatino Linotype" w:hAnsi="Palatino Linotype"/>
          <w:noProof/>
        </w:rPr>
        <w:t>4</w:t>
      </w:r>
      <w:r w:rsidRPr="007B6E76">
        <w:rPr>
          <w:rFonts w:ascii="Palatino Linotype" w:hAnsi="Palatino Linotype"/>
          <w:noProof/>
        </w:rPr>
        <w:t xml:space="preserve">. This proves that the high dividend yield of an issuer will affect the company's stock price. </w:t>
      </w:r>
      <w:bookmarkEnd w:id="5"/>
      <w:r w:rsidRPr="007B6E76">
        <w:rPr>
          <w:rFonts w:ascii="Palatino Linotype" w:hAnsi="Palatino Linotype"/>
          <w:noProof/>
        </w:rPr>
        <w:t>This research is inseparable from its limitations and shortcomings.</w:t>
      </w:r>
    </w:p>
    <w:p w14:paraId="35F6CB0A" w14:textId="77777777" w:rsidR="00261EE4" w:rsidRDefault="00261EE4">
      <w:pPr>
        <w:spacing w:before="240" w:after="120"/>
        <w:jc w:val="both"/>
        <w:rPr>
          <w:rFonts w:ascii="Palatino Linotype" w:eastAsia="Palatino Linotype" w:hAnsi="Palatino Linotype" w:cs="Palatino Linotype"/>
          <w:b/>
          <w:sz w:val="10"/>
          <w:szCs w:val="10"/>
        </w:rPr>
      </w:pPr>
    </w:p>
    <w:p w14:paraId="57D81240" w14:textId="77777777" w:rsidR="00261EE4" w:rsidRDefault="00000000">
      <w:pPr>
        <w:spacing w:after="120"/>
        <w:ind w:left="567" w:hanging="567"/>
        <w:jc w:val="both"/>
        <w:rPr>
          <w:rFonts w:ascii="Palatino Linotype" w:eastAsia="Palatino Linotype" w:hAnsi="Palatino Linotype" w:cs="Palatino Linotype"/>
          <w:b/>
        </w:rPr>
      </w:pPr>
      <w:r>
        <w:rPr>
          <w:rFonts w:ascii="Palatino Linotype" w:eastAsia="Palatino Linotype" w:hAnsi="Palatino Linotype" w:cs="Palatino Linotype"/>
          <w:b/>
        </w:rPr>
        <w:t>References</w:t>
      </w:r>
    </w:p>
    <w:p w14:paraId="32009C09" w14:textId="77777777" w:rsidR="009D7BB6" w:rsidRPr="005A44EA" w:rsidRDefault="009D7BB6" w:rsidP="009D7BB6">
      <w:pPr>
        <w:widowControl w:val="0"/>
        <w:autoSpaceDE w:val="0"/>
        <w:autoSpaceDN w:val="0"/>
        <w:adjustRightInd w:val="0"/>
        <w:ind w:left="480" w:hanging="480"/>
        <w:jc w:val="both"/>
        <w:rPr>
          <w:rFonts w:ascii="Palatino Linotype" w:hAnsi="Palatino Linotype"/>
          <w:noProof/>
          <w:color w:val="0070C0"/>
        </w:rPr>
      </w:pPr>
      <w:bookmarkStart w:id="6" w:name="bookmark=id.2s8eyo1" w:colFirst="0" w:colLast="0"/>
      <w:bookmarkEnd w:id="6"/>
      <w:r w:rsidRPr="005E4133">
        <w:rPr>
          <w:rFonts w:ascii="Palatino Linotype" w:hAnsi="Palatino Linotype"/>
          <w:noProof/>
        </w:rPr>
        <w:t xml:space="preserve">Ernayani, R., Asnawi, M. I., Luraw, N. R., Moridu, I., &amp; Lestari, W. (2023). Literature Review: The Prospect of Increased Interest Rates on Company Value and Stock Returns. </w:t>
      </w:r>
      <w:r w:rsidRPr="005E4133">
        <w:rPr>
          <w:rFonts w:ascii="Palatino Linotype" w:hAnsi="Palatino Linotype"/>
          <w:i/>
          <w:iCs/>
          <w:noProof/>
        </w:rPr>
        <w:t>Journal of Economic, Business and Accounting (COSTING),</w:t>
      </w:r>
      <w:r w:rsidRPr="005E4133">
        <w:rPr>
          <w:rFonts w:ascii="Palatino Linotype" w:hAnsi="Palatino Linotype"/>
          <w:noProof/>
        </w:rPr>
        <w:t xml:space="preserve"> </w:t>
      </w:r>
      <w:r w:rsidRPr="005E4133">
        <w:rPr>
          <w:rFonts w:ascii="Palatino Linotype" w:hAnsi="Palatino Linotype"/>
          <w:i/>
          <w:iCs/>
          <w:noProof/>
        </w:rPr>
        <w:t>6</w:t>
      </w:r>
      <w:r w:rsidRPr="005E4133">
        <w:rPr>
          <w:rFonts w:ascii="Palatino Linotype" w:hAnsi="Palatino Linotype"/>
          <w:noProof/>
        </w:rPr>
        <w:t xml:space="preserve">(2), 1168–1180. </w:t>
      </w:r>
      <w:r w:rsidRPr="005A44EA">
        <w:rPr>
          <w:rFonts w:ascii="Palatino Linotype" w:hAnsi="Palatino Linotype"/>
          <w:noProof/>
          <w:color w:val="0070C0"/>
        </w:rPr>
        <w:t>https://doi.org/10.31539/costing.v6i2.4906</w:t>
      </w:r>
    </w:p>
    <w:p w14:paraId="5C6EE40D"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Fitriani Saragih, R. D. H. &amp;; S. S. (2023). Journal of Accounting and Business Research Journal of Accounting and Business Research. </w:t>
      </w:r>
      <w:r w:rsidRPr="005E4133">
        <w:rPr>
          <w:rFonts w:ascii="Palatino Linotype" w:hAnsi="Palatino Linotype"/>
          <w:i/>
          <w:iCs/>
          <w:noProof/>
        </w:rPr>
        <w:t>Journal of Accounting and Business Research</w:t>
      </w:r>
      <w:r w:rsidRPr="005E4133">
        <w:rPr>
          <w:rFonts w:ascii="Palatino Linotype" w:hAnsi="Palatino Linotype"/>
          <w:noProof/>
        </w:rPr>
        <w:t xml:space="preserve">, </w:t>
      </w:r>
      <w:r w:rsidRPr="005E4133">
        <w:rPr>
          <w:rFonts w:ascii="Palatino Linotype" w:hAnsi="Palatino Linotype"/>
          <w:i/>
          <w:iCs/>
          <w:noProof/>
        </w:rPr>
        <w:t>23</w:t>
      </w:r>
      <w:r w:rsidRPr="005E4133">
        <w:rPr>
          <w:rFonts w:ascii="Palatino Linotype" w:hAnsi="Palatino Linotype"/>
          <w:noProof/>
        </w:rPr>
        <w:t>(2), 73–81.</w:t>
      </w:r>
    </w:p>
    <w:p w14:paraId="252FBE4F"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Ghozali, I. (2016). </w:t>
      </w:r>
      <w:r w:rsidRPr="005E4133">
        <w:rPr>
          <w:rFonts w:ascii="Palatino Linotype" w:hAnsi="Palatino Linotype"/>
          <w:i/>
          <w:iCs/>
          <w:noProof/>
        </w:rPr>
        <w:t>Qualitative and Quantitative Research Design</w:t>
      </w:r>
      <w:r w:rsidRPr="005E4133">
        <w:rPr>
          <w:rFonts w:ascii="Palatino Linotype" w:hAnsi="Palatino Linotype"/>
          <w:noProof/>
        </w:rPr>
        <w:t>.</w:t>
      </w:r>
    </w:p>
    <w:p w14:paraId="33A4B2A5" w14:textId="77777777" w:rsidR="009D7BB6" w:rsidRPr="005A44EA"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Hastuti, R., Irawan, I., Hukom, A., Raya, U. P., Tengah, K., &amp;; Artikel, R. (2023). The Effect of Inflation, Exchange Rate, Interest Rate and Gross Domestic Products on Stock Returns in Manufacturing Companies. </w:t>
      </w:r>
      <w:r w:rsidRPr="005E4133">
        <w:rPr>
          <w:rFonts w:ascii="Palatino Linotype" w:hAnsi="Palatino Linotype"/>
          <w:i/>
          <w:iCs/>
          <w:noProof/>
        </w:rPr>
        <w:t>Economic and Public Policy Studies (SEKP</w:t>
      </w:r>
      <w:r w:rsidRPr="005E4133">
        <w:rPr>
          <w:rFonts w:ascii="Palatino Linotype" w:hAnsi="Palatino Linotype"/>
          <w:noProof/>
        </w:rPr>
        <w:t xml:space="preserve">), </w:t>
      </w:r>
      <w:r w:rsidRPr="005E4133">
        <w:rPr>
          <w:rFonts w:ascii="Palatino Linotype" w:hAnsi="Palatino Linotype"/>
          <w:i/>
          <w:iCs/>
          <w:noProof/>
        </w:rPr>
        <w:t>2</w:t>
      </w:r>
      <w:r w:rsidRPr="005E4133">
        <w:rPr>
          <w:rFonts w:ascii="Palatino Linotype" w:hAnsi="Palatino Linotype"/>
          <w:noProof/>
        </w:rPr>
        <w:t xml:space="preserve">(1), 21–36. </w:t>
      </w:r>
      <w:r w:rsidRPr="005A44EA">
        <w:rPr>
          <w:rFonts w:ascii="Palatino Linotype" w:hAnsi="Palatino Linotype"/>
          <w:noProof/>
          <w:color w:val="0070C0"/>
        </w:rPr>
        <w:t>https://doi.org/10.35912/sekp.v2i1.1221</w:t>
      </w:r>
    </w:p>
    <w:p w14:paraId="50662487" w14:textId="77777777" w:rsidR="009D7BB6" w:rsidRPr="005A44EA"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Hiyun Puspita Sari, S. W., Layli, M., Marsuking, M., Wibisono, D., Wibowo, A., Maula, D. I., Harahap, R. S., Firmansyah, F., &amp;; Hasbi, M. Z. N. (2023). The effect of Profitability, Liquidity, Leverage, Dividend Policy, and Company Size on company value in companies listed on the Jakarta Islamic Index (JII) for the 2019-2021 period. </w:t>
      </w:r>
      <w:r w:rsidRPr="005E4133">
        <w:rPr>
          <w:rFonts w:ascii="Palatino Linotype" w:hAnsi="Palatino Linotype"/>
          <w:i/>
          <w:iCs/>
          <w:noProof/>
        </w:rPr>
        <w:t>JESI (Indonesian Journal of Sharia Economics</w:t>
      </w:r>
      <w:r w:rsidRPr="005E4133">
        <w:rPr>
          <w:rFonts w:ascii="Palatino Linotype" w:hAnsi="Palatino Linotype"/>
          <w:noProof/>
        </w:rPr>
        <w:t>), 12(2</w:t>
      </w:r>
      <w:r w:rsidRPr="005E4133">
        <w:rPr>
          <w:rFonts w:ascii="Palatino Linotype" w:hAnsi="Palatino Linotype"/>
          <w:i/>
          <w:iCs/>
          <w:noProof/>
        </w:rPr>
        <w:t xml:space="preserve">), 123. </w:t>
      </w:r>
      <w:r w:rsidRPr="005A44EA">
        <w:rPr>
          <w:rFonts w:ascii="Palatino Linotype" w:hAnsi="Palatino Linotype"/>
          <w:noProof/>
          <w:color w:val="0070C0"/>
        </w:rPr>
        <w:t>https://doi.org/10.21927/10.21927/jesi.2022.12(2).142-149</w:t>
      </w:r>
    </w:p>
    <w:p w14:paraId="79943EE8"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lastRenderedPageBreak/>
        <w:t xml:space="preserve">Isaac, I. M., &amp;; Pakaya, S. I. (2023). The influence of interest rates and exchange rates on the stock price index of the agricultural sector on the IDX in 2016–2020. </w:t>
      </w:r>
      <w:r w:rsidRPr="005E4133">
        <w:rPr>
          <w:rFonts w:ascii="Palatino Linotype" w:hAnsi="Palatino Linotype"/>
          <w:i/>
          <w:iCs/>
          <w:noProof/>
        </w:rPr>
        <w:t>JAMBURA: Scientific Journal of Management and Business</w:t>
      </w:r>
      <w:r w:rsidRPr="005E4133">
        <w:rPr>
          <w:rFonts w:ascii="Palatino Linotype" w:hAnsi="Palatino Linotype"/>
          <w:noProof/>
        </w:rPr>
        <w:t xml:space="preserve">, </w:t>
      </w:r>
      <w:r w:rsidRPr="005E4133">
        <w:rPr>
          <w:rFonts w:ascii="Palatino Linotype" w:hAnsi="Palatino Linotype"/>
          <w:i/>
          <w:iCs/>
          <w:noProof/>
        </w:rPr>
        <w:t>6</w:t>
      </w:r>
      <w:r w:rsidRPr="005E4133">
        <w:rPr>
          <w:rFonts w:ascii="Palatino Linotype" w:hAnsi="Palatino Linotype"/>
          <w:noProof/>
        </w:rPr>
        <w:t>(1), 491–496. https://ejurnal.ung.ac.id/index.php/JIMB/article/view/20056</w:t>
      </w:r>
    </w:p>
    <w:p w14:paraId="473E51C0"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Karya, D., &amp;; Syamsuddin, S. (2016). </w:t>
      </w:r>
      <w:r w:rsidRPr="005E4133">
        <w:rPr>
          <w:rFonts w:ascii="Palatino Linotype" w:hAnsi="Palatino Linotype"/>
          <w:i/>
          <w:iCs/>
          <w:noProof/>
        </w:rPr>
        <w:t>Macroeconomics introduction to management</w:t>
      </w:r>
      <w:r w:rsidRPr="005E4133">
        <w:rPr>
          <w:rFonts w:ascii="Palatino Linotype" w:hAnsi="Palatino Linotype"/>
          <w:noProof/>
        </w:rPr>
        <w:t>.</w:t>
      </w:r>
    </w:p>
    <w:p w14:paraId="3CD31C2D"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Laksono, muhdany yusuf. (2023). </w:t>
      </w:r>
      <w:r w:rsidRPr="005E4133">
        <w:rPr>
          <w:rFonts w:ascii="Palatino Linotype" w:hAnsi="Palatino Linotype"/>
          <w:i/>
          <w:iCs/>
          <w:noProof/>
        </w:rPr>
        <w:t>Transportation System in the Capital City of the Archipelago (IKN).</w:t>
      </w:r>
      <w:r w:rsidRPr="005E4133">
        <w:rPr>
          <w:rFonts w:ascii="Palatino Linotype" w:hAnsi="Palatino Linotype"/>
          <w:noProof/>
        </w:rPr>
        <w:t xml:space="preserve"> Kompass.Com.</w:t>
      </w:r>
    </w:p>
    <w:p w14:paraId="09ECB3A2"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López-Santamaría, M., Amaya, N., Grueso Hinestroza, M. P., &amp;; Cuero, Y. A. (2021). Sustainability disclosure practices as seen through the lens of the signaling theory: A study of companies listed on the Colombian Stock Exchange. </w:t>
      </w:r>
      <w:r w:rsidRPr="005E4133">
        <w:rPr>
          <w:rFonts w:ascii="Palatino Linotype" w:hAnsi="Palatino Linotype"/>
          <w:i/>
          <w:iCs/>
          <w:noProof/>
        </w:rPr>
        <w:t>Journal of Cleaner Production</w:t>
      </w:r>
      <w:r w:rsidRPr="005E4133">
        <w:rPr>
          <w:rFonts w:ascii="Palatino Linotype" w:hAnsi="Palatino Linotype"/>
          <w:noProof/>
        </w:rPr>
        <w:t xml:space="preserve">, </w:t>
      </w:r>
      <w:r w:rsidRPr="005E4133">
        <w:rPr>
          <w:rFonts w:ascii="Palatino Linotype" w:hAnsi="Palatino Linotype"/>
          <w:i/>
          <w:iCs/>
          <w:noProof/>
        </w:rPr>
        <w:t>317</w:t>
      </w:r>
      <w:r w:rsidRPr="005E4133">
        <w:rPr>
          <w:rFonts w:ascii="Palatino Linotype" w:hAnsi="Palatino Linotype"/>
          <w:noProof/>
        </w:rPr>
        <w:t xml:space="preserve">(August 2020). </w:t>
      </w:r>
      <w:r w:rsidRPr="005A44EA">
        <w:rPr>
          <w:rFonts w:ascii="Palatino Linotype" w:hAnsi="Palatino Linotype"/>
          <w:noProof/>
          <w:color w:val="0070C0"/>
        </w:rPr>
        <w:t>https://doi.org/10.1016/j.jclepro.2021.128416</w:t>
      </w:r>
    </w:p>
    <w:p w14:paraId="58B3F3B0" w14:textId="77777777" w:rsidR="009D7BB6" w:rsidRPr="005A44EA"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Luo, S., Shyu, M. L., Silalahi, A. dayarana k., &amp;; Shih, I. T. (2022). A business model predicting the impact of live-stream marketing on firms' stock price - An event study. </w:t>
      </w:r>
      <w:r w:rsidRPr="005E4133">
        <w:rPr>
          <w:rFonts w:ascii="Palatino Linotype" w:hAnsi="Palatino Linotype"/>
          <w:i/>
          <w:iCs/>
          <w:noProof/>
        </w:rPr>
        <w:t>Heliyon</w:t>
      </w:r>
      <w:r w:rsidRPr="005E4133">
        <w:rPr>
          <w:rFonts w:ascii="Palatino Linotype" w:hAnsi="Palatino Linotype"/>
          <w:noProof/>
        </w:rPr>
        <w:t xml:space="preserve">, </w:t>
      </w:r>
      <w:r w:rsidRPr="005E4133">
        <w:rPr>
          <w:rFonts w:ascii="Palatino Linotype" w:hAnsi="Palatino Linotype"/>
          <w:i/>
          <w:iCs/>
          <w:noProof/>
        </w:rPr>
        <w:t>8</w:t>
      </w:r>
      <w:r w:rsidRPr="005E4133">
        <w:rPr>
          <w:rFonts w:ascii="Palatino Linotype" w:hAnsi="Palatino Linotype"/>
          <w:noProof/>
        </w:rPr>
        <w:t xml:space="preserve">(12), e12522. </w:t>
      </w:r>
      <w:r w:rsidRPr="005A44EA">
        <w:rPr>
          <w:rFonts w:ascii="Palatino Linotype" w:hAnsi="Palatino Linotype"/>
          <w:noProof/>
          <w:color w:val="0070C0"/>
        </w:rPr>
        <w:t>https://doi.org/10.1016/j.heliyon.2022.e12522</w:t>
      </w:r>
    </w:p>
    <w:p w14:paraId="0A989CBA"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Mangkona, S., Fadhilah, N., &amp;; Nurfan, H. M. (2023). The Effect of Dividend Policy and Capital Structure on the Value of Manufacturing Companies on the Indonesia Stock Exchange. </w:t>
      </w:r>
      <w:r w:rsidRPr="005E4133">
        <w:rPr>
          <w:rFonts w:ascii="Palatino Linotype" w:hAnsi="Palatino Linotype"/>
          <w:i/>
          <w:iCs/>
          <w:noProof/>
        </w:rPr>
        <w:t>Amsir Management Journal</w:t>
      </w:r>
      <w:r w:rsidRPr="005E4133">
        <w:rPr>
          <w:rFonts w:ascii="Palatino Linotype" w:hAnsi="Palatino Linotype"/>
          <w:noProof/>
        </w:rPr>
        <w:t xml:space="preserve">, </w:t>
      </w:r>
      <w:r w:rsidRPr="005E4133">
        <w:rPr>
          <w:rFonts w:ascii="Palatino Linotype" w:hAnsi="Palatino Linotype"/>
          <w:i/>
          <w:iCs/>
          <w:noProof/>
        </w:rPr>
        <w:t>4</w:t>
      </w:r>
      <w:r w:rsidRPr="005E4133">
        <w:rPr>
          <w:rFonts w:ascii="Palatino Linotype" w:hAnsi="Palatino Linotype"/>
          <w:noProof/>
        </w:rPr>
        <w:t xml:space="preserve">(1), 11–21. </w:t>
      </w:r>
      <w:r w:rsidRPr="005A44EA">
        <w:rPr>
          <w:rFonts w:ascii="Palatino Linotype" w:hAnsi="Palatino Linotype"/>
          <w:noProof/>
          <w:color w:val="0070C0"/>
        </w:rPr>
        <w:t>https://doi.org/10.56341/amj.v4i1.243</w:t>
      </w:r>
    </w:p>
    <w:p w14:paraId="1BC153BB"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Melati, Y. P., &amp;; Suselo, D. (2022). Analysis Of The Effect Of Return On Equity (Roe), Debttoequity Ratio (DER), Pricetobook Value (PBV) On Stock Price Case Study of Companies in the Infrastructure, Utilities and Transportation Sector for the Period 2019 – 2020 ). </w:t>
      </w:r>
      <w:r w:rsidRPr="005E4133">
        <w:rPr>
          <w:rFonts w:ascii="Palatino Linotype" w:hAnsi="Palatino Linotype"/>
          <w:i/>
          <w:iCs/>
          <w:noProof/>
        </w:rPr>
        <w:t>Journal of Economic and Business Dynamics</w:t>
      </w:r>
      <w:r w:rsidRPr="005E4133">
        <w:rPr>
          <w:rFonts w:ascii="Palatino Linotype" w:hAnsi="Palatino Linotype"/>
          <w:noProof/>
        </w:rPr>
        <w:t>. https://openlibrarypublications.telkomuniversity.ac.id/index.php/management/article/view/1895</w:t>
      </w:r>
    </w:p>
    <w:p w14:paraId="62B5DD56" w14:textId="77777777" w:rsidR="009D7BB6" w:rsidRPr="005A44EA"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Nasution, N., Faruqi, F., &amp;; Rahayu, S. (2019). The influence of managerial ownership, institutional ownership, capital structure, company growth, and profitability on company value in manufacturing companies in Indonesia in 2015-2018. </w:t>
      </w:r>
      <w:r w:rsidRPr="005E4133">
        <w:rPr>
          <w:rFonts w:ascii="Palatino Linotype" w:hAnsi="Palatino Linotype"/>
          <w:i/>
          <w:iCs/>
          <w:noProof/>
        </w:rPr>
        <w:t>STEI Journal of Economics</w:t>
      </w:r>
      <w:r w:rsidRPr="005E4133">
        <w:rPr>
          <w:rFonts w:ascii="Palatino Linotype" w:hAnsi="Palatino Linotype"/>
          <w:noProof/>
        </w:rPr>
        <w:t xml:space="preserve">, </w:t>
      </w:r>
      <w:r w:rsidRPr="005E4133">
        <w:rPr>
          <w:rFonts w:ascii="Palatino Linotype" w:hAnsi="Palatino Linotype"/>
          <w:i/>
          <w:iCs/>
          <w:noProof/>
        </w:rPr>
        <w:t>28</w:t>
      </w:r>
      <w:r w:rsidRPr="005E4133">
        <w:rPr>
          <w:rFonts w:ascii="Palatino Linotype" w:hAnsi="Palatino Linotype"/>
          <w:noProof/>
        </w:rPr>
        <w:t xml:space="preserve">(01), 153–171. </w:t>
      </w:r>
      <w:r w:rsidRPr="005A44EA">
        <w:rPr>
          <w:rFonts w:ascii="Palatino Linotype" w:hAnsi="Palatino Linotype"/>
          <w:noProof/>
          <w:color w:val="0070C0"/>
        </w:rPr>
        <w:t>https://doi.org/10.36406/jemi.v28i01.273</w:t>
      </w:r>
    </w:p>
    <w:p w14:paraId="75F9131E" w14:textId="77777777" w:rsidR="009D7BB6" w:rsidRPr="005A44EA"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Priyanto, N. (2022). Analysis of the Effects of Inflation, Interest Rates, Exchange Rates, and Money Supply on the Composite Stock Price Index (JCI) on Companies Listed on the Indonesia Stock Exchange for the 2017-2019 Period. </w:t>
      </w:r>
      <w:r w:rsidRPr="005E4133">
        <w:rPr>
          <w:rFonts w:ascii="Palatino Linotype" w:hAnsi="Palatino Linotype"/>
          <w:i/>
          <w:iCs/>
          <w:noProof/>
        </w:rPr>
        <w:t>Juma</w:t>
      </w:r>
      <w:r w:rsidRPr="005E4133">
        <w:rPr>
          <w:rFonts w:ascii="Palatino Linotype" w:hAnsi="Palatino Linotype"/>
          <w:noProof/>
        </w:rPr>
        <w:t xml:space="preserve">, </w:t>
      </w:r>
      <w:r w:rsidRPr="005E4133">
        <w:rPr>
          <w:rFonts w:ascii="Palatino Linotype" w:hAnsi="Palatino Linotype"/>
          <w:i/>
          <w:iCs/>
          <w:noProof/>
        </w:rPr>
        <w:t>23</w:t>
      </w:r>
      <w:r w:rsidRPr="005E4133">
        <w:rPr>
          <w:rFonts w:ascii="Palatino Linotype" w:hAnsi="Palatino Linotype"/>
          <w:noProof/>
        </w:rPr>
        <w:t xml:space="preserve">(1), 14411–14464. </w:t>
      </w:r>
      <w:r w:rsidRPr="005A44EA">
        <w:rPr>
          <w:rFonts w:ascii="Palatino Linotype" w:hAnsi="Palatino Linotype"/>
          <w:noProof/>
          <w:color w:val="0070C0"/>
        </w:rPr>
        <w:t>http://journal.stiei-kayutangi-bjm.ac.id/</w:t>
      </w:r>
    </w:p>
    <w:p w14:paraId="6F5F4ECC" w14:textId="77777777" w:rsidR="009D7BB6" w:rsidRPr="005A44EA"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Rasyad, F. H. S., Aghsilni, A., &amp;; Wisanggara, R. (2021). The effect of inflation and interest rates on the company's stock price during the Covid-19 pandemic. </w:t>
      </w:r>
      <w:r w:rsidRPr="005E4133">
        <w:rPr>
          <w:rFonts w:ascii="Palatino Linotype" w:hAnsi="Palatino Linotype"/>
          <w:i/>
          <w:iCs/>
          <w:noProof/>
        </w:rPr>
        <w:t>Al-Masraf: Journal of Financial and Banking Institutions</w:t>
      </w:r>
      <w:r w:rsidRPr="005E4133">
        <w:rPr>
          <w:rFonts w:ascii="Palatino Linotype" w:hAnsi="Palatino Linotype"/>
          <w:noProof/>
        </w:rPr>
        <w:t xml:space="preserve">, </w:t>
      </w:r>
      <w:r w:rsidRPr="005E4133">
        <w:rPr>
          <w:rFonts w:ascii="Palatino Linotype" w:hAnsi="Palatino Linotype"/>
          <w:i/>
          <w:iCs/>
          <w:noProof/>
        </w:rPr>
        <w:t>6</w:t>
      </w:r>
      <w:r w:rsidRPr="005E4133">
        <w:rPr>
          <w:rFonts w:ascii="Palatino Linotype" w:hAnsi="Palatino Linotype"/>
          <w:noProof/>
        </w:rPr>
        <w:t xml:space="preserve">(2), 124. </w:t>
      </w:r>
      <w:r w:rsidRPr="005A44EA">
        <w:rPr>
          <w:rFonts w:ascii="Palatino Linotype" w:hAnsi="Palatino Linotype"/>
          <w:noProof/>
          <w:color w:val="0070C0"/>
        </w:rPr>
        <w:t>https://doi.org/10.15548/al-masraf.v6i2.475</w:t>
      </w:r>
    </w:p>
    <w:p w14:paraId="365ECD57" w14:textId="77777777" w:rsidR="009D7BB6" w:rsidRPr="00DA6E7B"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Sahupala, I. A., &amp;; Andayani, S. (2021). The effect of systematic risk and dividend policy on stock prices. </w:t>
      </w:r>
      <w:r w:rsidRPr="005E4133">
        <w:rPr>
          <w:rFonts w:ascii="Palatino Linotype" w:hAnsi="Palatino Linotype"/>
          <w:i/>
          <w:iCs/>
          <w:noProof/>
        </w:rPr>
        <w:t>National Seminar on Accounting and Call for Paper (SEGUNAN</w:t>
      </w:r>
      <w:r w:rsidRPr="005E4133">
        <w:rPr>
          <w:rFonts w:ascii="Palatino Linotype" w:hAnsi="Palatino Linotype"/>
          <w:noProof/>
        </w:rPr>
        <w:t xml:space="preserve">), </w:t>
      </w:r>
      <w:r w:rsidRPr="005E4133">
        <w:rPr>
          <w:rFonts w:ascii="Palatino Linotype" w:hAnsi="Palatino Linotype"/>
          <w:i/>
          <w:iCs/>
          <w:noProof/>
        </w:rPr>
        <w:t>1</w:t>
      </w:r>
      <w:r w:rsidRPr="005E4133">
        <w:rPr>
          <w:rFonts w:ascii="Palatino Linotype" w:hAnsi="Palatino Linotype"/>
          <w:noProof/>
        </w:rPr>
        <w:t xml:space="preserve">(2), 770–779. </w:t>
      </w:r>
      <w:r w:rsidRPr="00DA6E7B">
        <w:rPr>
          <w:rFonts w:ascii="Palatino Linotype" w:hAnsi="Palatino Linotype"/>
          <w:noProof/>
          <w:color w:val="0070C0"/>
        </w:rPr>
        <w:t>https://doi.org/10.33005/senapan.v1i2.150</w:t>
      </w:r>
    </w:p>
    <w:p w14:paraId="6DF8455D" w14:textId="77777777" w:rsidR="009D7BB6" w:rsidRPr="00DA6E7B"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Saputra, M. H., Firmasari, P., Fadillah, Y., Suratno, E., Kartika, Y. D., &amp; Lie, K. P. </w:t>
      </w:r>
      <w:r w:rsidRPr="005E4133">
        <w:rPr>
          <w:rFonts w:ascii="Palatino Linotype" w:hAnsi="Palatino Linotype"/>
          <w:noProof/>
        </w:rPr>
        <w:lastRenderedPageBreak/>
        <w:t xml:space="preserve">(2023). Optimization of Company Value: The effect of inflation on the company's stock price with good corporate governance as a moderating variable. </w:t>
      </w:r>
      <w:r w:rsidRPr="005E4133">
        <w:rPr>
          <w:rFonts w:ascii="Palatino Linotype" w:hAnsi="Palatino Linotype"/>
          <w:i/>
          <w:iCs/>
          <w:noProof/>
        </w:rPr>
        <w:t>Scientific Journal of Management and Entrepreneurship (JUMANAGE</w:t>
      </w:r>
      <w:r w:rsidRPr="005E4133">
        <w:rPr>
          <w:rFonts w:ascii="Palatino Linotype" w:hAnsi="Palatino Linotype"/>
          <w:noProof/>
        </w:rPr>
        <w:t>), 2</w:t>
      </w:r>
      <w:r w:rsidRPr="005E4133">
        <w:rPr>
          <w:rFonts w:ascii="Palatino Linotype" w:hAnsi="Palatino Linotype"/>
          <w:i/>
          <w:iCs/>
          <w:noProof/>
        </w:rPr>
        <w:t xml:space="preserve">(2), 191–201. </w:t>
      </w:r>
      <w:r w:rsidRPr="00DA6E7B">
        <w:rPr>
          <w:rFonts w:ascii="Palatino Linotype" w:hAnsi="Palatino Linotype"/>
          <w:noProof/>
          <w:color w:val="0070C0"/>
        </w:rPr>
        <w:t>https://doi.org/10.33998/jumanage.2023.2.2.836</w:t>
      </w:r>
    </w:p>
    <w:p w14:paraId="6889FAEB" w14:textId="77777777" w:rsidR="009D7BB6" w:rsidRPr="00DA6E7B"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Septyadi, M. A., &amp;; Bwarleling, T. H. (2020). The Effect of Stock Trading Volume, Leverage, and Dividend Policy on Stock Price Volatility. </w:t>
      </w:r>
      <w:r w:rsidRPr="005E4133">
        <w:rPr>
          <w:rFonts w:ascii="Palatino Linotype" w:hAnsi="Palatino Linotype"/>
          <w:i/>
          <w:iCs/>
          <w:noProof/>
        </w:rPr>
        <w:t>ACCURACY: Journal of Accounting and Finance Research</w:t>
      </w:r>
      <w:r w:rsidRPr="005E4133">
        <w:rPr>
          <w:rFonts w:ascii="Palatino Linotype" w:hAnsi="Palatino Linotype"/>
          <w:noProof/>
        </w:rPr>
        <w:t xml:space="preserve">, </w:t>
      </w:r>
      <w:r w:rsidRPr="005E4133">
        <w:rPr>
          <w:rFonts w:ascii="Palatino Linotype" w:hAnsi="Palatino Linotype"/>
          <w:i/>
          <w:iCs/>
          <w:noProof/>
        </w:rPr>
        <w:t>2</w:t>
      </w:r>
      <w:r w:rsidRPr="005E4133">
        <w:rPr>
          <w:rFonts w:ascii="Palatino Linotype" w:hAnsi="Palatino Linotype"/>
          <w:noProof/>
        </w:rPr>
        <w:t xml:space="preserve">(3), 149–162. </w:t>
      </w:r>
      <w:r w:rsidRPr="00DA6E7B">
        <w:rPr>
          <w:rFonts w:ascii="Palatino Linotype" w:hAnsi="Palatino Linotype"/>
          <w:noProof/>
          <w:color w:val="0070C0"/>
        </w:rPr>
        <w:t>https://doi.org/10.36407/akurasi.v2i3.251</w:t>
      </w:r>
    </w:p>
    <w:p w14:paraId="106BE636" w14:textId="77777777" w:rsidR="009D7BB6" w:rsidRPr="00DA6E7B"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Sinaga, A. N., Stify, S., Oktavia, M., &amp;; Saphira, V. (2021). The effect of inflation, dividend policy, profitability, and company size on share prices in infrastructure, utilities, and transportation companies listed on the Indonesia Stock Exchange (IDX). </w:t>
      </w:r>
      <w:r w:rsidRPr="005E4133">
        <w:rPr>
          <w:rFonts w:ascii="Palatino Linotype" w:hAnsi="Palatino Linotype"/>
          <w:i/>
          <w:iCs/>
          <w:noProof/>
        </w:rPr>
        <w:t>Journal of Economic, Business, and Accounting (COSTING),</w:t>
      </w:r>
      <w:r w:rsidRPr="005E4133">
        <w:rPr>
          <w:rFonts w:ascii="Palatino Linotype" w:hAnsi="Palatino Linotype"/>
          <w:noProof/>
        </w:rPr>
        <w:t xml:space="preserve"> </w:t>
      </w:r>
      <w:r w:rsidRPr="005E4133">
        <w:rPr>
          <w:rFonts w:ascii="Palatino Linotype" w:hAnsi="Palatino Linotype"/>
          <w:i/>
          <w:iCs/>
          <w:noProof/>
        </w:rPr>
        <w:t>5</w:t>
      </w:r>
      <w:r w:rsidRPr="005E4133">
        <w:rPr>
          <w:rFonts w:ascii="Palatino Linotype" w:hAnsi="Palatino Linotype"/>
          <w:noProof/>
        </w:rPr>
        <w:t xml:space="preserve">(1), 634–639. </w:t>
      </w:r>
      <w:r w:rsidRPr="00DA6E7B">
        <w:rPr>
          <w:rFonts w:ascii="Palatino Linotype" w:hAnsi="Palatino Linotype"/>
          <w:noProof/>
          <w:color w:val="0070C0"/>
        </w:rPr>
        <w:t>https://doi.org/10.31539/costing.v5i1.2488</w:t>
      </w:r>
    </w:p>
    <w:p w14:paraId="166B5B1E"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Statistics), B. (plus bodies. (2023). </w:t>
      </w:r>
      <w:r w:rsidRPr="005E4133">
        <w:rPr>
          <w:rFonts w:ascii="Palatino Linotype" w:hAnsi="Palatino Linotype"/>
          <w:i/>
          <w:iCs/>
          <w:noProof/>
        </w:rPr>
        <w:t>Inflation in August 2023 remains under control</w:t>
      </w:r>
      <w:r w:rsidRPr="005E4133">
        <w:rPr>
          <w:rFonts w:ascii="Palatino Linotype" w:hAnsi="Palatino Linotype"/>
          <w:noProof/>
        </w:rPr>
        <w:t>. https://www.bps.go.id/pressrelease/2023/09/01/1957/agustus-2023-inflasi-year-on-year--y-on-y--sebesar-3-27-persen--inflasi-tertinggi-terjadi-di-manokwari-sebesar-6-40-persen.html</w:t>
      </w:r>
    </w:p>
    <w:p w14:paraId="2F935BE6" w14:textId="77777777" w:rsidR="009D7BB6" w:rsidRPr="005E4133" w:rsidRDefault="009D7BB6" w:rsidP="009D7BB6">
      <w:pPr>
        <w:widowControl w:val="0"/>
        <w:autoSpaceDE w:val="0"/>
        <w:autoSpaceDN w:val="0"/>
        <w:adjustRightInd w:val="0"/>
        <w:ind w:left="480" w:hanging="480"/>
        <w:jc w:val="both"/>
        <w:rPr>
          <w:rFonts w:ascii="Palatino Linotype" w:hAnsi="Palatino Linotype"/>
          <w:noProof/>
        </w:rPr>
      </w:pPr>
      <w:r w:rsidRPr="005E4133">
        <w:rPr>
          <w:rFonts w:ascii="Palatino Linotype" w:hAnsi="Palatino Linotype"/>
          <w:noProof/>
        </w:rPr>
        <w:t xml:space="preserve">Sumaryoto, Nurfarkhana, A., &amp;; Anita, T. (2021). the Impact of Money Supply and the Inflation Rate on Indonesia Composite Index: Case Study in Indonesia Stock Exchange 2008-2017. </w:t>
      </w:r>
      <w:r w:rsidRPr="005E4133">
        <w:rPr>
          <w:rFonts w:ascii="Palatino Linotype" w:hAnsi="Palatino Linotype"/>
          <w:i/>
          <w:iCs/>
          <w:noProof/>
        </w:rPr>
        <w:t>Business and Accounting Research (IJEBAR) Peer Reviewed-International Journal</w:t>
      </w:r>
      <w:r w:rsidRPr="005E4133">
        <w:rPr>
          <w:rFonts w:ascii="Palatino Linotype" w:hAnsi="Palatino Linotype"/>
          <w:noProof/>
        </w:rPr>
        <w:t xml:space="preserve">, </w:t>
      </w:r>
      <w:r w:rsidRPr="005E4133">
        <w:rPr>
          <w:rFonts w:ascii="Palatino Linotype" w:hAnsi="Palatino Linotype"/>
          <w:i/>
          <w:iCs/>
          <w:noProof/>
        </w:rPr>
        <w:t>5</w:t>
      </w:r>
      <w:r w:rsidRPr="005E4133">
        <w:rPr>
          <w:rFonts w:ascii="Palatino Linotype" w:hAnsi="Palatino Linotype"/>
          <w:noProof/>
        </w:rPr>
        <w:t>(2), 196–213. https://jurnal.stie-aas.ac.id/index.php/IJEBAR</w:t>
      </w:r>
    </w:p>
    <w:p w14:paraId="433963C4" w14:textId="77777777" w:rsidR="009D7BB6" w:rsidRPr="00DA6E7B" w:rsidRDefault="009D7BB6" w:rsidP="009D7BB6">
      <w:pPr>
        <w:widowControl w:val="0"/>
        <w:autoSpaceDE w:val="0"/>
        <w:autoSpaceDN w:val="0"/>
        <w:adjustRightInd w:val="0"/>
        <w:ind w:left="480" w:hanging="480"/>
        <w:jc w:val="both"/>
        <w:rPr>
          <w:rFonts w:ascii="Palatino Linotype" w:hAnsi="Palatino Linotype"/>
          <w:noProof/>
          <w:color w:val="0070C0"/>
        </w:rPr>
      </w:pPr>
      <w:r w:rsidRPr="005E4133">
        <w:rPr>
          <w:rFonts w:ascii="Palatino Linotype" w:hAnsi="Palatino Linotype"/>
          <w:noProof/>
        </w:rPr>
        <w:t xml:space="preserve">Theiri, S., Ben Hamad, S., &amp;; Ben Amor, M. (2023). Dividend policy and crisis: Exploring the interplay between performance and financial constraints in the French context. </w:t>
      </w:r>
      <w:r w:rsidRPr="005E4133">
        <w:rPr>
          <w:rFonts w:ascii="Palatino Linotype" w:hAnsi="Palatino Linotype"/>
          <w:i/>
          <w:iCs/>
          <w:noProof/>
        </w:rPr>
        <w:t>Heliyon</w:t>
      </w:r>
      <w:r w:rsidRPr="005E4133">
        <w:rPr>
          <w:rFonts w:ascii="Palatino Linotype" w:hAnsi="Palatino Linotype"/>
          <w:noProof/>
        </w:rPr>
        <w:t xml:space="preserve">, </w:t>
      </w:r>
      <w:r w:rsidRPr="005E4133">
        <w:rPr>
          <w:rFonts w:ascii="Palatino Linotype" w:hAnsi="Palatino Linotype"/>
          <w:i/>
          <w:iCs/>
          <w:noProof/>
        </w:rPr>
        <w:t>9</w:t>
      </w:r>
      <w:r w:rsidRPr="005E4133">
        <w:rPr>
          <w:rFonts w:ascii="Palatino Linotype" w:hAnsi="Palatino Linotype"/>
          <w:noProof/>
        </w:rPr>
        <w:t xml:space="preserve">(10), e20586. </w:t>
      </w:r>
      <w:r w:rsidRPr="00DA6E7B">
        <w:rPr>
          <w:rFonts w:ascii="Palatino Linotype" w:hAnsi="Palatino Linotype"/>
          <w:noProof/>
          <w:color w:val="0070C0"/>
        </w:rPr>
        <w:t>https://doi.org/10.1016/j.heliyon.2023.e20586</w:t>
      </w:r>
    </w:p>
    <w:p w14:paraId="331C9DAF" w14:textId="77777777" w:rsidR="00261EE4" w:rsidRPr="007110E6" w:rsidRDefault="00261EE4">
      <w:pPr>
        <w:ind w:left="567" w:hanging="567"/>
        <w:jc w:val="both"/>
        <w:rPr>
          <w:rFonts w:ascii="Palatino Linotype" w:eastAsia="Palatino Linotype" w:hAnsi="Palatino Linotype" w:cs="Palatino Linotype"/>
          <w:sz w:val="22"/>
          <w:szCs w:val="22"/>
        </w:rPr>
      </w:pPr>
    </w:p>
    <w:sectPr w:rsidR="00261EE4" w:rsidRPr="007110E6" w:rsidSect="0041478A">
      <w:headerReference w:type="default" r:id="rId13"/>
      <w:footerReference w:type="even" r:id="rId14"/>
      <w:footerReference w:type="default" r:id="rId15"/>
      <w:headerReference w:type="first" r:id="rId16"/>
      <w:footerReference w:type="first" r:id="rId17"/>
      <w:pgSz w:w="11907" w:h="16840"/>
      <w:pgMar w:top="1701" w:right="1191" w:bottom="1361" w:left="1871" w:header="73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6A7B7" w14:textId="77777777" w:rsidR="00CE3E09" w:rsidRDefault="00CE3E09">
      <w:r>
        <w:separator/>
      </w:r>
    </w:p>
  </w:endnote>
  <w:endnote w:type="continuationSeparator" w:id="0">
    <w:p w14:paraId="31426826" w14:textId="77777777" w:rsidR="00CE3E09" w:rsidRDefault="00CE3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CEFE0185-4593-4636-9B6B-26B74A5DEBB7}"/>
    <w:embedBold r:id="rId2" w:fontKey="{C8920503-77DD-4E2D-B68A-D621500F5DFE}"/>
    <w:embedItalic r:id="rId3" w:fontKey="{5931DD16-C19C-4AAB-8D21-BC6FEC7BA229}"/>
  </w:font>
  <w:font w:name="Cambria">
    <w:panose1 w:val="02040503050406030204"/>
    <w:charset w:val="00"/>
    <w:family w:val="roman"/>
    <w:pitch w:val="variable"/>
    <w:sig w:usb0="E00006FF" w:usb1="420024FF" w:usb2="02000000" w:usb3="00000000" w:csb0="0000019F" w:csb1="00000000"/>
    <w:embedRegular r:id="rId4" w:fontKey="{C0A850A1-1ED1-455F-88CA-074AD3618A2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AF86DA45-E720-4529-A3F0-DF7D5F390E28}"/>
    <w:embedItalic r:id="rId6" w:fontKey="{D21FFC6F-2060-4B3B-90D9-5578FF43BE17}"/>
  </w:font>
  <w:font w:name="Palatino Linotype">
    <w:panose1 w:val="02040502050505030304"/>
    <w:charset w:val="00"/>
    <w:family w:val="roman"/>
    <w:pitch w:val="variable"/>
    <w:sig w:usb0="E0000287" w:usb1="40000013" w:usb2="00000000" w:usb3="00000000" w:csb0="0000019F" w:csb1="00000000"/>
    <w:embedRegular r:id="rId7" w:fontKey="{C2432F82-1AD3-4AEC-89D4-EBAC7815AE43}"/>
    <w:embedBold r:id="rId8" w:fontKey="{D72C384E-8BB9-474B-A03D-C8E1B3815E6C}"/>
    <w:embedItalic r:id="rId9" w:fontKey="{C0BCA01E-0133-444C-891C-C8716EA25037}"/>
  </w:font>
  <w:font w:name="Segoe UI">
    <w:panose1 w:val="020B0502040204020203"/>
    <w:charset w:val="00"/>
    <w:family w:val="swiss"/>
    <w:pitch w:val="variable"/>
    <w:sig w:usb0="E4002EFF" w:usb1="C000E47F" w:usb2="00000009" w:usb3="00000000" w:csb0="000001FF" w:csb1="00000000"/>
    <w:embedRegular r:id="rId10" w:fontKey="{0E1B4DED-2F9B-466F-A7CD-6A113BF6A448}"/>
  </w:font>
  <w:font w:name="Book Antiqua">
    <w:panose1 w:val="02040602050305030304"/>
    <w:charset w:val="00"/>
    <w:family w:val="roman"/>
    <w:pitch w:val="variable"/>
    <w:sig w:usb0="00000287" w:usb1="00000000" w:usb2="00000000" w:usb3="00000000" w:csb0="0000009F" w:csb1="00000000"/>
    <w:embedRegular r:id="rId11" w:fontKey="{66960467-C90A-4263-BB39-9EE017DF3751}"/>
  </w:font>
  <w:font w:name="TimesNewRomanPSMT">
    <w:panose1 w:val="00000000000000000000"/>
    <w:charset w:val="00"/>
    <w:family w:val="roman"/>
    <w:notTrueType/>
    <w:pitch w:val="default"/>
  </w:font>
  <w:font w:name="TimesNewRomanPS-ItalicM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12" w:fontKey="{C4689860-A0CD-4627-9F84-09028399A8C6}"/>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embedRegular r:id="rId13" w:fontKey="{926013EA-EEB0-407A-A902-CD1F12A0B6F7}"/>
    <w:embedBold r:id="rId14" w:fontKey="{3541317D-D9E3-4F29-90EA-9DFD8F3D7B4E}"/>
  </w:font>
  <w:font w:name="Georgia">
    <w:panose1 w:val="02040502050405020303"/>
    <w:charset w:val="00"/>
    <w:family w:val="roman"/>
    <w:pitch w:val="variable"/>
    <w:sig w:usb0="00000287" w:usb1="00000000" w:usb2="00000000" w:usb3="00000000" w:csb0="0000009F" w:csb1="00000000"/>
    <w:embedRegular r:id="rId15" w:fontKey="{737B11CD-DEFD-4D4F-AC5D-8611237EE1DE}"/>
    <w:embedItalic r:id="rId16" w:fontKey="{67AA03E8-EFF7-431C-9E77-A0F49AC8134F}"/>
  </w:font>
  <w:font w:name="Garamond">
    <w:panose1 w:val="02020404030301010803"/>
    <w:charset w:val="00"/>
    <w:family w:val="roman"/>
    <w:pitch w:val="variable"/>
    <w:sig w:usb0="00000287" w:usb1="00000000" w:usb2="00000000" w:usb3="00000000" w:csb0="0000009F" w:csb1="00000000"/>
    <w:embedItalic r:id="rId17" w:fontKey="{C7655B54-763F-40D2-A107-BC01B1B70F6F}"/>
  </w:font>
  <w:font w:name="Naskhi">
    <w:altName w:val="Times New Roman"/>
    <w:charset w:val="B2"/>
    <w:family w:val="auto"/>
    <w:pitch w:val="variable"/>
    <w:sig w:usb0="00002000" w:usb1="00000000" w:usb2="00000000" w:usb3="00000000" w:csb0="00000040" w:csb1="00000000"/>
  </w:font>
  <w:font w:name="Aptos Display">
    <w:charset w:val="00"/>
    <w:family w:val="swiss"/>
    <w:pitch w:val="variable"/>
    <w:sig w:usb0="20000287" w:usb1="00000003" w:usb2="00000000" w:usb3="00000000" w:csb0="0000019F" w:csb1="00000000"/>
    <w:embedRegular r:id="rId18" w:fontKey="{F80E0859-7CC0-4843-BCB4-DF4D9A4F60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652018"/>
      <w:docPartObj>
        <w:docPartGallery w:val="Page Numbers (Bottom of Page)"/>
        <w:docPartUnique/>
      </w:docPartObj>
    </w:sdtPr>
    <w:sdtEndPr>
      <w:rPr>
        <w:noProof/>
      </w:rPr>
    </w:sdtEndPr>
    <w:sdtContent>
      <w:p w14:paraId="6E0511B8" w14:textId="4D369D54" w:rsidR="0041478A" w:rsidRDefault="0041478A">
        <w:pPr>
          <w:pStyle w:val="Footer"/>
        </w:pPr>
        <w:r>
          <w:fldChar w:fldCharType="begin"/>
        </w:r>
        <w:r>
          <w:instrText xml:space="preserve"> PAGE   \* MERGEFORMAT </w:instrText>
        </w:r>
        <w:r>
          <w:fldChar w:fldCharType="separate"/>
        </w:r>
        <w:r>
          <w:rPr>
            <w:noProof/>
          </w:rPr>
          <w:t>2</w:t>
        </w:r>
        <w:r>
          <w:rPr>
            <w:noProof/>
          </w:rPr>
          <w:fldChar w:fldCharType="end"/>
        </w:r>
      </w:p>
    </w:sdtContent>
  </w:sdt>
  <w:p w14:paraId="0435F61C" w14:textId="05C2583B" w:rsidR="00261EE4" w:rsidRDefault="00261EE4">
    <w:pPr>
      <w:spacing w:after="240"/>
      <w:jc w:val="center"/>
      <w:rPr>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069983"/>
      <w:docPartObj>
        <w:docPartGallery w:val="Page Numbers (Bottom of Page)"/>
        <w:docPartUnique/>
      </w:docPartObj>
    </w:sdtPr>
    <w:sdtEndPr>
      <w:rPr>
        <w:noProof/>
      </w:rPr>
    </w:sdtEndPr>
    <w:sdtContent>
      <w:p w14:paraId="549B3E58" w14:textId="2007EE33" w:rsidR="0041478A" w:rsidRDefault="004147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DBE4A8" w14:textId="035F43F1" w:rsidR="00261EE4" w:rsidRDefault="00261EE4" w:rsidP="00295D01">
    <w:pPr>
      <w:spacing w:after="240"/>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3273" w14:textId="2F3A5445" w:rsidR="00261EE4" w:rsidRDefault="00261EE4">
    <w:pPr>
      <w:widowControl w:val="0"/>
      <w:pBdr>
        <w:top w:val="nil"/>
        <w:left w:val="nil"/>
        <w:bottom w:val="nil"/>
        <w:right w:val="nil"/>
        <w:between w:val="nil"/>
      </w:pBdr>
      <w:tabs>
        <w:tab w:val="center" w:pos="4680"/>
        <w:tab w:val="right" w:pos="9360"/>
      </w:tabs>
      <w:jc w:val="center"/>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EA41" w14:textId="77777777" w:rsidR="00CE3E09" w:rsidRDefault="00CE3E09">
      <w:r>
        <w:separator/>
      </w:r>
    </w:p>
  </w:footnote>
  <w:footnote w:type="continuationSeparator" w:id="0">
    <w:p w14:paraId="45A3280E" w14:textId="77777777" w:rsidR="00CE3E09" w:rsidRDefault="00CE3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86A3" w14:textId="0385049B" w:rsidR="00261EE4" w:rsidRDefault="00261EE4">
    <w:pPr>
      <w:widowControl w:val="0"/>
      <w:pBdr>
        <w:top w:val="nil"/>
        <w:left w:val="nil"/>
        <w:bottom w:val="nil"/>
        <w:right w:val="nil"/>
        <w:between w:val="nil"/>
      </w:pBdr>
      <w:tabs>
        <w:tab w:val="center" w:pos="4680"/>
        <w:tab w:val="right" w:pos="9360"/>
      </w:tabs>
      <w:rPr>
        <w:rFonts w:ascii="Palatino Linotype" w:eastAsia="Palatino Linotype" w:hAnsi="Palatino Linotype" w:cs="Palatino Linotype"/>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401719"/>
      <w:docPartObj>
        <w:docPartGallery w:val="Page Numbers (Top of Page)"/>
        <w:docPartUnique/>
      </w:docPartObj>
    </w:sdtPr>
    <w:sdtEndPr>
      <w:rPr>
        <w:noProof/>
      </w:rPr>
    </w:sdtEndPr>
    <w:sdtContent>
      <w:p w14:paraId="41BA3DAE" w14:textId="5D1F5CD5" w:rsidR="0041478A" w:rsidRDefault="004147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7F6075" w14:textId="77777777" w:rsidR="0041478A" w:rsidRDefault="004147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EE4"/>
    <w:rsid w:val="001529A1"/>
    <w:rsid w:val="001B10AC"/>
    <w:rsid w:val="001B6334"/>
    <w:rsid w:val="00261EE4"/>
    <w:rsid w:val="002644B4"/>
    <w:rsid w:val="00295D01"/>
    <w:rsid w:val="002B46AA"/>
    <w:rsid w:val="002E2900"/>
    <w:rsid w:val="002F77CF"/>
    <w:rsid w:val="003E1627"/>
    <w:rsid w:val="003E7C53"/>
    <w:rsid w:val="0041478A"/>
    <w:rsid w:val="00477CFC"/>
    <w:rsid w:val="00480A96"/>
    <w:rsid w:val="005A465D"/>
    <w:rsid w:val="005D48F5"/>
    <w:rsid w:val="00653745"/>
    <w:rsid w:val="00680819"/>
    <w:rsid w:val="007110E6"/>
    <w:rsid w:val="00714759"/>
    <w:rsid w:val="00856DB4"/>
    <w:rsid w:val="00917A76"/>
    <w:rsid w:val="009709C2"/>
    <w:rsid w:val="009D7BB6"/>
    <w:rsid w:val="00BB0ED9"/>
    <w:rsid w:val="00CE146D"/>
    <w:rsid w:val="00CE3E09"/>
    <w:rsid w:val="00DA2D87"/>
    <w:rsid w:val="00E46229"/>
    <w:rsid w:val="00F8017A"/>
    <w:rsid w:val="00FE494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C3AFC"/>
  <w15:docId w15:val="{98EDB39D-0372-4EE6-B049-F5A4560D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SG"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292"/>
    <w:rPr>
      <w:lang w:eastAsia="en-GB"/>
    </w:rPr>
  </w:style>
  <w:style w:type="paragraph" w:styleId="Heading1">
    <w:name w:val="heading 1"/>
    <w:basedOn w:val="Normal"/>
    <w:next w:val="Normal"/>
    <w:link w:val="Heading1Char"/>
    <w:uiPriority w:val="9"/>
    <w:qFormat/>
    <w:rsid w:val="00B73E6A"/>
    <w:pPr>
      <w:keepNext/>
      <w:keepLines/>
      <w:widowControl w:val="0"/>
      <w:autoSpaceDE w:val="0"/>
      <w:autoSpaceDN w:val="0"/>
      <w:spacing w:before="240"/>
      <w:outlineLvl w:val="0"/>
    </w:pPr>
    <w:rPr>
      <w:rFonts w:ascii="Calibri Light" w:hAnsi="Calibri Light"/>
      <w:color w:val="2E74B5"/>
      <w:sz w:val="32"/>
      <w:szCs w:val="32"/>
      <w:lang w:val="en-US" w:eastAsia="en-US"/>
    </w:rPr>
  </w:style>
  <w:style w:type="paragraph" w:styleId="Heading2">
    <w:name w:val="heading 2"/>
    <w:basedOn w:val="Normal"/>
    <w:next w:val="Normal"/>
    <w:link w:val="Heading2Char"/>
    <w:uiPriority w:val="9"/>
    <w:unhideWhenUsed/>
    <w:qFormat/>
    <w:rsid w:val="009C6E35"/>
    <w:pPr>
      <w:keepNext/>
      <w:keepLines/>
      <w:widowControl w:val="0"/>
      <w:autoSpaceDE w:val="0"/>
      <w:autoSpaceDN w:val="0"/>
      <w:spacing w:before="200"/>
      <w:outlineLvl w:val="1"/>
    </w:pPr>
    <w:rPr>
      <w:rFonts w:ascii="Calibri Light" w:hAnsi="Calibri Light"/>
      <w:b/>
      <w:bCs/>
      <w:color w:val="5B9BD5"/>
      <w:sz w:val="26"/>
      <w:szCs w:val="26"/>
      <w:lang w:val="en-US" w:eastAsia="en-US"/>
    </w:rPr>
  </w:style>
  <w:style w:type="paragraph" w:styleId="Heading3">
    <w:name w:val="heading 3"/>
    <w:next w:val="Normal"/>
    <w:link w:val="Heading3Char"/>
    <w:uiPriority w:val="9"/>
    <w:unhideWhenUsed/>
    <w:qFormat/>
    <w:rsid w:val="00664D3C"/>
    <w:pPr>
      <w:keepNext/>
      <w:keepLines/>
      <w:pBdr>
        <w:top w:val="nil"/>
        <w:left w:val="nil"/>
        <w:bottom w:val="nil"/>
        <w:right w:val="nil"/>
        <w:between w:val="nil"/>
        <w:bar w:val="nil"/>
      </w:pBdr>
      <w:spacing w:before="40" w:after="120" w:line="360" w:lineRule="auto"/>
      <w:outlineLvl w:val="2"/>
    </w:pPr>
    <w:rPr>
      <w:color w:val="000000"/>
      <w:u w:color="000000"/>
      <w:bdr w:val="nil"/>
      <w:lang w:val="en-US" w:eastAsia="fi-FI"/>
    </w:rPr>
  </w:style>
  <w:style w:type="paragraph" w:styleId="Heading4">
    <w:name w:val="heading 4"/>
    <w:basedOn w:val="Normal"/>
    <w:next w:val="Normal"/>
    <w:link w:val="Heading4Char"/>
    <w:uiPriority w:val="9"/>
    <w:semiHidden/>
    <w:unhideWhenUsed/>
    <w:qFormat/>
    <w:rsid w:val="000E3EE9"/>
    <w:pPr>
      <w:keepNext/>
      <w:keepLines/>
      <w:widowControl w:val="0"/>
      <w:autoSpaceDE w:val="0"/>
      <w:autoSpaceDN w:val="0"/>
      <w:spacing w:before="40"/>
      <w:outlineLvl w:val="3"/>
    </w:pPr>
    <w:rPr>
      <w:rFonts w:ascii="Calibri Light" w:hAnsi="Calibri Light"/>
      <w:i/>
      <w:iCs/>
      <w:color w:val="2E74B5"/>
      <w:sz w:val="22"/>
      <w:szCs w:val="22"/>
      <w:lang w:val="en-US" w:eastAsia="en-U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02F"/>
    <w:pPr>
      <w:pBdr>
        <w:bottom w:val="single" w:sz="8" w:space="4" w:color="4F81BD"/>
      </w:pBdr>
      <w:spacing w:after="300"/>
      <w:ind w:hanging="1"/>
    </w:pPr>
    <w:rPr>
      <w:rFonts w:ascii="Cambria" w:eastAsia="Cambria" w:hAnsi="Cambria" w:cs="Cambria"/>
      <w:color w:val="17365D"/>
      <w:sz w:val="52"/>
      <w:szCs w:val="52"/>
      <w:lang w:val="id-ID" w:eastAsia="en-ID"/>
    </w:rPr>
  </w:style>
  <w:style w:type="character" w:customStyle="1" w:styleId="Heading1Char">
    <w:name w:val="Heading 1 Char"/>
    <w:link w:val="Heading1"/>
    <w:uiPriority w:val="9"/>
    <w:rsid w:val="00B73E6A"/>
    <w:rPr>
      <w:rFonts w:ascii="Calibri Light" w:eastAsia="Times New Roman" w:hAnsi="Calibri Light" w:cs="Times New Roman"/>
      <w:color w:val="2E74B5"/>
      <w:sz w:val="32"/>
      <w:szCs w:val="32"/>
    </w:rPr>
  </w:style>
  <w:style w:type="character" w:customStyle="1" w:styleId="Heading3Char">
    <w:name w:val="Heading 3 Char"/>
    <w:link w:val="Heading3"/>
    <w:uiPriority w:val="9"/>
    <w:rsid w:val="00664D3C"/>
    <w:rPr>
      <w:rFonts w:ascii="Times New Roman" w:eastAsia="Times New Roman" w:hAnsi="Times New Roman" w:cs="Times New Roman"/>
      <w:color w:val="000000"/>
      <w:sz w:val="24"/>
      <w:szCs w:val="24"/>
      <w:u w:color="000000"/>
      <w:bdr w:val="nil"/>
      <w:lang w:eastAsia="fi-FI"/>
    </w:rPr>
  </w:style>
  <w:style w:type="character" w:customStyle="1" w:styleId="Heading4Char">
    <w:name w:val="Heading 4 Char"/>
    <w:link w:val="Heading4"/>
    <w:uiPriority w:val="9"/>
    <w:rsid w:val="000E3EE9"/>
    <w:rPr>
      <w:rFonts w:ascii="Calibri Light" w:eastAsia="Times New Roman" w:hAnsi="Calibri Light" w:cs="Times New Roman"/>
      <w:i/>
      <w:iCs/>
      <w:color w:val="2E74B5"/>
    </w:rPr>
  </w:style>
  <w:style w:type="character" w:styleId="Hyperlink">
    <w:name w:val="Hyperlink"/>
    <w:uiPriority w:val="99"/>
    <w:unhideWhenUsed/>
    <w:rsid w:val="0088701E"/>
    <w:rPr>
      <w:color w:val="0563C1"/>
      <w:u w:val="single"/>
    </w:rPr>
  </w:style>
  <w:style w:type="table" w:styleId="TableGrid">
    <w:name w:val="Table Grid"/>
    <w:basedOn w:val="TableNormal"/>
    <w:uiPriority w:val="39"/>
    <w:rsid w:val="00E31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A1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rsid w:val="002A1A28"/>
    <w:rPr>
      <w:rFonts w:ascii="Courier New" w:eastAsia="Times New Roman" w:hAnsi="Courier New" w:cs="Courier New"/>
      <w:sz w:val="20"/>
      <w:szCs w:val="20"/>
    </w:rPr>
  </w:style>
  <w:style w:type="paragraph" w:customStyle="1" w:styleId="BodyArtikel">
    <w:name w:val="Body Artikel"/>
    <w:basedOn w:val="Normal"/>
    <w:qFormat/>
    <w:rsid w:val="005653B8"/>
    <w:pPr>
      <w:ind w:firstLine="567"/>
      <w:jc w:val="both"/>
    </w:pPr>
    <w:rPr>
      <w:rFonts w:ascii="Cambria" w:hAnsi="Cambria"/>
      <w:sz w:val="22"/>
      <w:szCs w:val="22"/>
      <w:lang w:val="id-ID" w:eastAsia="en-US"/>
    </w:rPr>
  </w:style>
  <w:style w:type="character" w:customStyle="1" w:styleId="mceitemhidden">
    <w:name w:val="mceitemhidden"/>
    <w:basedOn w:val="DefaultParagraphFont"/>
    <w:rsid w:val="00C4230B"/>
  </w:style>
  <w:style w:type="character" w:styleId="Emphasis">
    <w:name w:val="Emphasis"/>
    <w:uiPriority w:val="20"/>
    <w:qFormat/>
    <w:rsid w:val="0097672B"/>
    <w:rPr>
      <w:i/>
      <w:iCs/>
    </w:rPr>
  </w:style>
  <w:style w:type="paragraph" w:styleId="ListParagraph">
    <w:name w:val="List Paragraph"/>
    <w:aliases w:val="spasi 2 taiiii,skripsi,kepala,Colorful List - Accent 11,sub de titre 4,ANNEX,Body Text Char1,Char Char2,List Paragraph2,Char Char21,TABEL,Dalam Tabel,SUB BAB2"/>
    <w:basedOn w:val="Normal"/>
    <w:link w:val="ListParagraphChar"/>
    <w:uiPriority w:val="34"/>
    <w:qFormat/>
    <w:rsid w:val="0097672B"/>
    <w:pPr>
      <w:suppressAutoHyphens/>
      <w:autoSpaceDE w:val="0"/>
      <w:autoSpaceDN w:val="0"/>
      <w:adjustRightInd w:val="0"/>
      <w:spacing w:after="200" w:line="264" w:lineRule="auto"/>
      <w:ind w:left="720"/>
      <w:textAlignment w:val="center"/>
    </w:pPr>
    <w:rPr>
      <w:rFonts w:ascii="Calibri" w:hAnsi="Calibri" w:cs="Calibri"/>
      <w:color w:val="000000"/>
      <w:sz w:val="22"/>
      <w:szCs w:val="22"/>
      <w:lang w:val="en-US" w:eastAsia="en-US"/>
    </w:rPr>
  </w:style>
  <w:style w:type="character" w:customStyle="1" w:styleId="ListParagraphChar">
    <w:name w:val="List Paragraph Char"/>
    <w:aliases w:val="spasi 2 taiiii Char,skripsi Char,kepala Char,Colorful List - Accent 11 Char,sub de titre 4 Char,ANNEX Char,Body Text Char1 Char,Char Char2 Char,List Paragraph2 Char,Char Char21 Char,TABEL Char,Dalam Tabel Char,SUB BAB2 Char"/>
    <w:link w:val="ListParagraph"/>
    <w:uiPriority w:val="34"/>
    <w:qFormat/>
    <w:locked/>
    <w:rsid w:val="00323C2D"/>
    <w:rPr>
      <w:rFonts w:ascii="Calibri" w:eastAsia="Times New Roman" w:hAnsi="Calibri" w:cs="Calibri"/>
      <w:color w:val="000000"/>
    </w:rPr>
  </w:style>
  <w:style w:type="paragraph" w:styleId="Header">
    <w:name w:val="header"/>
    <w:basedOn w:val="Normal"/>
    <w:link w:val="HeaderChar"/>
    <w:uiPriority w:val="99"/>
    <w:unhideWhenUsed/>
    <w:rsid w:val="0097672B"/>
    <w:pPr>
      <w:widowControl w:val="0"/>
      <w:tabs>
        <w:tab w:val="center" w:pos="4680"/>
        <w:tab w:val="right" w:pos="9360"/>
      </w:tabs>
      <w:autoSpaceDE w:val="0"/>
      <w:autoSpaceDN w:val="0"/>
    </w:pPr>
    <w:rPr>
      <w:rFonts w:ascii="Palatino Linotype" w:eastAsia="Palatino Linotype" w:hAnsi="Palatino Linotype" w:cs="Palatino Linotype"/>
      <w:sz w:val="22"/>
      <w:szCs w:val="22"/>
      <w:lang w:val="en-US" w:eastAsia="en-US"/>
    </w:rPr>
  </w:style>
  <w:style w:type="character" w:customStyle="1" w:styleId="HeaderChar">
    <w:name w:val="Header Char"/>
    <w:link w:val="Header"/>
    <w:uiPriority w:val="99"/>
    <w:rsid w:val="0097672B"/>
    <w:rPr>
      <w:rFonts w:ascii="Palatino Linotype" w:eastAsia="Palatino Linotype" w:hAnsi="Palatino Linotype" w:cs="Palatino Linotype"/>
    </w:rPr>
  </w:style>
  <w:style w:type="paragraph" w:styleId="Footer">
    <w:name w:val="footer"/>
    <w:basedOn w:val="Normal"/>
    <w:link w:val="FooterChar"/>
    <w:uiPriority w:val="99"/>
    <w:unhideWhenUsed/>
    <w:rsid w:val="0097672B"/>
    <w:pPr>
      <w:widowControl w:val="0"/>
      <w:tabs>
        <w:tab w:val="center" w:pos="4680"/>
        <w:tab w:val="right" w:pos="9360"/>
      </w:tabs>
      <w:autoSpaceDE w:val="0"/>
      <w:autoSpaceDN w:val="0"/>
    </w:pPr>
    <w:rPr>
      <w:rFonts w:ascii="Palatino Linotype" w:eastAsia="Palatino Linotype" w:hAnsi="Palatino Linotype" w:cs="Palatino Linotype"/>
      <w:sz w:val="22"/>
      <w:szCs w:val="22"/>
      <w:lang w:val="en-US" w:eastAsia="en-US"/>
    </w:rPr>
  </w:style>
  <w:style w:type="character" w:customStyle="1" w:styleId="FooterChar">
    <w:name w:val="Footer Char"/>
    <w:link w:val="Footer"/>
    <w:uiPriority w:val="99"/>
    <w:rsid w:val="0097672B"/>
    <w:rPr>
      <w:rFonts w:ascii="Palatino Linotype" w:eastAsia="Palatino Linotype" w:hAnsi="Palatino Linotype" w:cs="Palatino Linotype"/>
    </w:rPr>
  </w:style>
  <w:style w:type="character" w:styleId="CommentReference">
    <w:name w:val="annotation reference"/>
    <w:uiPriority w:val="99"/>
    <w:semiHidden/>
    <w:unhideWhenUsed/>
    <w:rsid w:val="001B700F"/>
    <w:rPr>
      <w:sz w:val="16"/>
      <w:szCs w:val="16"/>
    </w:rPr>
  </w:style>
  <w:style w:type="paragraph" w:styleId="CommentText">
    <w:name w:val="annotation text"/>
    <w:basedOn w:val="Normal"/>
    <w:link w:val="CommentTextChar"/>
    <w:uiPriority w:val="99"/>
    <w:unhideWhenUsed/>
    <w:rsid w:val="001B700F"/>
    <w:pPr>
      <w:widowControl w:val="0"/>
      <w:autoSpaceDE w:val="0"/>
      <w:autoSpaceDN w:val="0"/>
    </w:pPr>
    <w:rPr>
      <w:rFonts w:ascii="Palatino Linotype" w:eastAsia="Palatino Linotype" w:hAnsi="Palatino Linotype" w:cs="Palatino Linotype"/>
      <w:sz w:val="20"/>
      <w:szCs w:val="20"/>
      <w:lang w:val="en-US" w:eastAsia="en-US"/>
    </w:rPr>
  </w:style>
  <w:style w:type="character" w:customStyle="1" w:styleId="CommentTextChar">
    <w:name w:val="Comment Text Char"/>
    <w:link w:val="CommentText"/>
    <w:uiPriority w:val="99"/>
    <w:rsid w:val="001B700F"/>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1B700F"/>
    <w:rPr>
      <w:b/>
      <w:bCs/>
    </w:rPr>
  </w:style>
  <w:style w:type="character" w:customStyle="1" w:styleId="CommentSubjectChar">
    <w:name w:val="Comment Subject Char"/>
    <w:link w:val="CommentSubject"/>
    <w:uiPriority w:val="99"/>
    <w:semiHidden/>
    <w:rsid w:val="001B700F"/>
    <w:rPr>
      <w:rFonts w:ascii="Palatino Linotype" w:eastAsia="Palatino Linotype" w:hAnsi="Palatino Linotype" w:cs="Palatino Linotype"/>
      <w:b/>
      <w:bCs/>
      <w:sz w:val="20"/>
      <w:szCs w:val="20"/>
    </w:rPr>
  </w:style>
  <w:style w:type="paragraph" w:styleId="BalloonText">
    <w:name w:val="Balloon Text"/>
    <w:basedOn w:val="Normal"/>
    <w:link w:val="BalloonTextChar"/>
    <w:uiPriority w:val="99"/>
    <w:semiHidden/>
    <w:unhideWhenUsed/>
    <w:rsid w:val="001B700F"/>
    <w:pPr>
      <w:widowControl w:val="0"/>
      <w:autoSpaceDE w:val="0"/>
      <w:autoSpaceDN w:val="0"/>
    </w:pPr>
    <w:rPr>
      <w:rFonts w:ascii="Segoe UI" w:eastAsia="Palatino Linotype" w:hAnsi="Segoe UI" w:cs="Segoe UI"/>
      <w:sz w:val="18"/>
      <w:szCs w:val="18"/>
      <w:lang w:val="en-US" w:eastAsia="en-US"/>
    </w:rPr>
  </w:style>
  <w:style w:type="character" w:customStyle="1" w:styleId="BalloonTextChar">
    <w:name w:val="Balloon Text Char"/>
    <w:link w:val="BalloonText"/>
    <w:uiPriority w:val="99"/>
    <w:semiHidden/>
    <w:rsid w:val="001B700F"/>
    <w:rPr>
      <w:rFonts w:ascii="Segoe UI" w:eastAsia="Palatino Linotype" w:hAnsi="Segoe UI" w:cs="Segoe UI"/>
      <w:sz w:val="18"/>
      <w:szCs w:val="18"/>
    </w:rPr>
  </w:style>
  <w:style w:type="paragraph" w:styleId="BodyText">
    <w:name w:val="Body Text"/>
    <w:basedOn w:val="Normal"/>
    <w:link w:val="BodyTextChar"/>
    <w:uiPriority w:val="1"/>
    <w:qFormat/>
    <w:rsid w:val="003925EB"/>
    <w:pPr>
      <w:widowControl w:val="0"/>
      <w:autoSpaceDE w:val="0"/>
      <w:autoSpaceDN w:val="0"/>
    </w:pPr>
    <w:rPr>
      <w:rFonts w:ascii="Book Antiqua" w:eastAsia="Book Antiqua" w:hAnsi="Book Antiqua" w:cs="Book Antiqua"/>
      <w:lang w:val="en-US" w:eastAsia="en-US" w:bidi="en-US"/>
    </w:rPr>
  </w:style>
  <w:style w:type="character" w:customStyle="1" w:styleId="BodyTextChar">
    <w:name w:val="Body Text Char"/>
    <w:link w:val="BodyText"/>
    <w:uiPriority w:val="1"/>
    <w:rsid w:val="003925EB"/>
    <w:rPr>
      <w:rFonts w:ascii="Book Antiqua" w:eastAsia="Book Antiqua" w:hAnsi="Book Antiqua" w:cs="Book Antiqua"/>
      <w:sz w:val="24"/>
      <w:szCs w:val="24"/>
      <w:lang w:bidi="en-US"/>
    </w:rPr>
  </w:style>
  <w:style w:type="character" w:customStyle="1" w:styleId="notranslate">
    <w:name w:val="notranslate"/>
    <w:rsid w:val="00CD2A78"/>
  </w:style>
  <w:style w:type="table" w:customStyle="1" w:styleId="PlainTable21">
    <w:name w:val="Plain Table 21"/>
    <w:basedOn w:val="TableNormal"/>
    <w:uiPriority w:val="42"/>
    <w:rsid w:val="00E76E2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im">
    <w:name w:val="im"/>
    <w:basedOn w:val="DefaultParagraphFont"/>
    <w:rsid w:val="001914AF"/>
  </w:style>
  <w:style w:type="table" w:customStyle="1" w:styleId="LightShading1">
    <w:name w:val="Light Shading1"/>
    <w:basedOn w:val="TableNormal"/>
    <w:uiPriority w:val="60"/>
    <w:rsid w:val="00CE501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B15CE6"/>
    <w:rPr>
      <w:color w:val="000000"/>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01">
    <w:name w:val="fontstyle01"/>
    <w:rsid w:val="00F2027D"/>
    <w:rPr>
      <w:rFonts w:ascii="TimesNewRomanPSMT" w:hAnsi="TimesNewRomanPSMT" w:hint="default"/>
      <w:b w:val="0"/>
      <w:bCs w:val="0"/>
      <w:i w:val="0"/>
      <w:iCs w:val="0"/>
      <w:color w:val="000000"/>
      <w:sz w:val="20"/>
      <w:szCs w:val="20"/>
    </w:rPr>
  </w:style>
  <w:style w:type="paragraph" w:customStyle="1" w:styleId="Default">
    <w:name w:val="Default"/>
    <w:rsid w:val="00EE49F2"/>
    <w:pPr>
      <w:autoSpaceDE w:val="0"/>
      <w:autoSpaceDN w:val="0"/>
      <w:adjustRightInd w:val="0"/>
    </w:pPr>
    <w:rPr>
      <w:color w:val="000000"/>
      <w:lang w:val="en-US" w:eastAsia="en-US"/>
    </w:rPr>
  </w:style>
  <w:style w:type="character" w:customStyle="1" w:styleId="fontstyle21">
    <w:name w:val="fontstyle21"/>
    <w:rsid w:val="00EE49F2"/>
    <w:rPr>
      <w:rFonts w:ascii="TimesNewRomanPS-ItalicMT" w:hAnsi="TimesNewRomanPS-ItalicMT" w:hint="default"/>
      <w:b w:val="0"/>
      <w:bCs w:val="0"/>
      <w:i/>
      <w:iCs/>
      <w:color w:val="000000"/>
      <w:sz w:val="20"/>
      <w:szCs w:val="20"/>
    </w:rPr>
  </w:style>
  <w:style w:type="paragraph" w:styleId="NoSpacing">
    <w:name w:val="No Spacing"/>
    <w:link w:val="NoSpacingChar"/>
    <w:uiPriority w:val="1"/>
    <w:qFormat/>
    <w:rsid w:val="004257CD"/>
    <w:rPr>
      <w:rFonts w:cs="Arial"/>
      <w:sz w:val="22"/>
      <w:szCs w:val="22"/>
      <w:lang w:val="en-US" w:eastAsia="en-US"/>
    </w:rPr>
  </w:style>
  <w:style w:type="character" w:customStyle="1" w:styleId="NoSpacingChar">
    <w:name w:val="No Spacing Char"/>
    <w:link w:val="NoSpacing"/>
    <w:uiPriority w:val="1"/>
    <w:locked/>
    <w:rsid w:val="004257CD"/>
    <w:rPr>
      <w:rFonts w:ascii="Calibri" w:eastAsia="Times New Roman" w:hAnsi="Calibri" w:cs="Arial"/>
    </w:rPr>
  </w:style>
  <w:style w:type="paragraph" w:customStyle="1" w:styleId="TableParagraph">
    <w:name w:val="Table Paragraph"/>
    <w:basedOn w:val="Normal"/>
    <w:uiPriority w:val="1"/>
    <w:qFormat/>
    <w:rsid w:val="00FA5222"/>
    <w:pPr>
      <w:widowControl w:val="0"/>
      <w:autoSpaceDE w:val="0"/>
      <w:autoSpaceDN w:val="0"/>
    </w:pPr>
    <w:rPr>
      <w:rFonts w:ascii="Book Antiqua" w:eastAsia="Book Antiqua" w:hAnsi="Book Antiqua" w:cs="Book Antiqua"/>
      <w:sz w:val="22"/>
      <w:szCs w:val="22"/>
      <w:lang w:val="en-US" w:eastAsia="en-US"/>
    </w:rPr>
  </w:style>
  <w:style w:type="character" w:styleId="FollowedHyperlink">
    <w:name w:val="FollowedHyperlink"/>
    <w:uiPriority w:val="99"/>
    <w:semiHidden/>
    <w:unhideWhenUsed/>
    <w:rsid w:val="00E65236"/>
    <w:rPr>
      <w:color w:val="954F72"/>
      <w:u w:val="single"/>
    </w:rPr>
  </w:style>
  <w:style w:type="paragraph" w:styleId="Bibliography">
    <w:name w:val="Bibliography"/>
    <w:basedOn w:val="Normal"/>
    <w:next w:val="Normal"/>
    <w:uiPriority w:val="37"/>
    <w:unhideWhenUsed/>
    <w:rsid w:val="00C37BC5"/>
    <w:pPr>
      <w:spacing w:after="160" w:line="259" w:lineRule="auto"/>
    </w:pPr>
    <w:rPr>
      <w:rFonts w:ascii="Calibri" w:eastAsia="Calibri" w:hAnsi="Calibri"/>
      <w:sz w:val="22"/>
      <w:szCs w:val="22"/>
      <w:lang w:val="id-ID" w:eastAsia="en-US"/>
    </w:rPr>
  </w:style>
  <w:style w:type="character" w:customStyle="1" w:styleId="EndnoteTextChar">
    <w:name w:val="Endnote Text Char"/>
    <w:link w:val="EndnoteText"/>
    <w:uiPriority w:val="99"/>
    <w:semiHidden/>
    <w:rsid w:val="00C37BC5"/>
    <w:rPr>
      <w:sz w:val="20"/>
      <w:szCs w:val="20"/>
      <w:lang w:val="id-ID"/>
    </w:rPr>
  </w:style>
  <w:style w:type="paragraph" w:styleId="EndnoteText">
    <w:name w:val="endnote text"/>
    <w:basedOn w:val="Normal"/>
    <w:link w:val="EndnoteTextChar"/>
    <w:uiPriority w:val="99"/>
    <w:semiHidden/>
    <w:unhideWhenUsed/>
    <w:rsid w:val="00C37BC5"/>
    <w:rPr>
      <w:rFonts w:ascii="Calibri" w:eastAsia="Calibri" w:hAnsi="Calibri"/>
      <w:sz w:val="20"/>
      <w:szCs w:val="20"/>
      <w:lang w:val="id-ID" w:eastAsia="en-US"/>
    </w:rPr>
  </w:style>
  <w:style w:type="character" w:customStyle="1" w:styleId="shorttext">
    <w:name w:val="short_text"/>
    <w:rsid w:val="006C3FCF"/>
  </w:style>
  <w:style w:type="character" w:customStyle="1" w:styleId="st">
    <w:name w:val="st"/>
    <w:rsid w:val="00A86555"/>
  </w:style>
  <w:style w:type="paragraph" w:customStyle="1" w:styleId="References">
    <w:name w:val="References"/>
    <w:uiPriority w:val="99"/>
    <w:rsid w:val="00D11109"/>
    <w:pPr>
      <w:spacing w:line="480" w:lineRule="auto"/>
      <w:ind w:left="567" w:hanging="567"/>
      <w:jc w:val="both"/>
    </w:pPr>
    <w:rPr>
      <w:rFonts w:cs="Times"/>
      <w:sz w:val="22"/>
      <w:szCs w:val="22"/>
      <w:lang w:val="en-GB" w:eastAsia="ar-SA"/>
    </w:rPr>
  </w:style>
  <w:style w:type="character" w:styleId="UnresolvedMention">
    <w:name w:val="Unresolved Mention"/>
    <w:uiPriority w:val="99"/>
    <w:semiHidden/>
    <w:unhideWhenUsed/>
    <w:rsid w:val="00305489"/>
    <w:rPr>
      <w:color w:val="605E5C"/>
      <w:shd w:val="clear" w:color="auto" w:fill="E1DFDD"/>
    </w:rPr>
  </w:style>
  <w:style w:type="paragraph" w:customStyle="1" w:styleId="c-bibliographic-informationcitation">
    <w:name w:val="c-bibliographic-information__citation"/>
    <w:basedOn w:val="Normal"/>
    <w:rsid w:val="005D63F9"/>
    <w:pPr>
      <w:spacing w:before="100" w:beforeAutospacing="1" w:after="100" w:afterAutospacing="1"/>
    </w:pPr>
  </w:style>
  <w:style w:type="paragraph" w:styleId="BodyTextIndent">
    <w:name w:val="Body Text Indent"/>
    <w:basedOn w:val="Normal"/>
    <w:link w:val="BodyTextIndentChar"/>
    <w:uiPriority w:val="99"/>
    <w:semiHidden/>
    <w:unhideWhenUsed/>
    <w:rsid w:val="007C167F"/>
    <w:pPr>
      <w:spacing w:after="120"/>
      <w:ind w:left="283"/>
    </w:pPr>
  </w:style>
  <w:style w:type="character" w:customStyle="1" w:styleId="BodyTextIndentChar">
    <w:name w:val="Body Text Indent Char"/>
    <w:link w:val="BodyTextIndent"/>
    <w:uiPriority w:val="99"/>
    <w:semiHidden/>
    <w:rsid w:val="007C167F"/>
    <w:rPr>
      <w:rFonts w:ascii="Times New Roman" w:eastAsia="Times New Roman" w:hAnsi="Times New Roman" w:cs="Times New Roman"/>
      <w:sz w:val="24"/>
      <w:szCs w:val="24"/>
      <w:lang w:val="en-SG" w:eastAsia="en-GB"/>
    </w:rPr>
  </w:style>
  <w:style w:type="character" w:customStyle="1" w:styleId="longtext">
    <w:name w:val="long_text"/>
    <w:rsid w:val="007C167F"/>
  </w:style>
  <w:style w:type="character" w:customStyle="1" w:styleId="hps">
    <w:name w:val="hps"/>
    <w:rsid w:val="007C167F"/>
  </w:style>
  <w:style w:type="character" w:styleId="Strong">
    <w:name w:val="Strong"/>
    <w:uiPriority w:val="22"/>
    <w:qFormat/>
    <w:rsid w:val="00334AEB"/>
    <w:rPr>
      <w:b/>
      <w:bCs/>
    </w:rPr>
  </w:style>
  <w:style w:type="table" w:styleId="LightShading">
    <w:name w:val="Light Shading"/>
    <w:basedOn w:val="TableNormal"/>
    <w:uiPriority w:val="60"/>
    <w:unhideWhenUsed/>
    <w:rsid w:val="00334AEB"/>
    <w:rPr>
      <w:rFonts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arkedcontent">
    <w:name w:val="markedcontent"/>
    <w:basedOn w:val="DefaultParagraphFont"/>
    <w:rsid w:val="00086C87"/>
  </w:style>
  <w:style w:type="character" w:customStyle="1" w:styleId="Heading2Char">
    <w:name w:val="Heading 2 Char"/>
    <w:link w:val="Heading2"/>
    <w:uiPriority w:val="9"/>
    <w:rsid w:val="009C6E35"/>
    <w:rPr>
      <w:rFonts w:ascii="Calibri Light" w:eastAsia="Times New Roman" w:hAnsi="Calibri Light"/>
      <w:b/>
      <w:bCs/>
      <w:color w:val="5B9BD5"/>
      <w:sz w:val="26"/>
      <w:szCs w:val="26"/>
      <w:lang w:val="en-US" w:eastAsia="en-US"/>
    </w:rPr>
  </w:style>
  <w:style w:type="paragraph" w:styleId="FootnoteText">
    <w:name w:val="footnote text"/>
    <w:basedOn w:val="Normal"/>
    <w:link w:val="FootnoteTextChar"/>
    <w:uiPriority w:val="99"/>
    <w:unhideWhenUsed/>
    <w:rsid w:val="009C6E35"/>
    <w:rPr>
      <w:rFonts w:ascii="Calibri" w:eastAsia="Calibri" w:hAnsi="Calibri" w:cs="Arial"/>
      <w:sz w:val="20"/>
      <w:szCs w:val="20"/>
      <w:lang w:val="en-US" w:eastAsia="en-US"/>
    </w:rPr>
  </w:style>
  <w:style w:type="character" w:customStyle="1" w:styleId="FootnoteTextChar">
    <w:name w:val="Footnote Text Char"/>
    <w:link w:val="FootnoteText"/>
    <w:uiPriority w:val="99"/>
    <w:rsid w:val="009C6E35"/>
    <w:rPr>
      <w:rFonts w:cs="Arial"/>
      <w:lang w:val="en-US" w:eastAsia="en-US"/>
    </w:rPr>
  </w:style>
  <w:style w:type="character" w:styleId="FootnoteReference">
    <w:name w:val="footnote reference"/>
    <w:uiPriority w:val="99"/>
    <w:unhideWhenUsed/>
    <w:qFormat/>
    <w:rsid w:val="009C6E35"/>
    <w:rPr>
      <w:vertAlign w:val="superscript"/>
    </w:rPr>
  </w:style>
  <w:style w:type="paragraph" w:customStyle="1" w:styleId="xl67">
    <w:name w:val="xl67"/>
    <w:basedOn w:val="Normal"/>
    <w:rsid w:val="009C6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en-US" w:eastAsia="en-US"/>
    </w:rPr>
  </w:style>
  <w:style w:type="paragraph" w:styleId="Caption">
    <w:name w:val="caption"/>
    <w:basedOn w:val="Normal"/>
    <w:next w:val="Normal"/>
    <w:uiPriority w:val="35"/>
    <w:unhideWhenUsed/>
    <w:qFormat/>
    <w:rsid w:val="006E0448"/>
    <w:pPr>
      <w:widowControl w:val="0"/>
      <w:autoSpaceDE w:val="0"/>
      <w:autoSpaceDN w:val="0"/>
      <w:spacing w:after="200"/>
    </w:pPr>
    <w:rPr>
      <w:rFonts w:ascii="Palatino Linotype" w:eastAsia="Palatino Linotype" w:hAnsi="Palatino Linotype" w:cs="Palatino Linotype"/>
      <w:i/>
      <w:iCs/>
      <w:color w:val="44546A"/>
      <w:sz w:val="18"/>
      <w:szCs w:val="18"/>
      <w:lang w:val="en-US" w:eastAsia="en-US"/>
    </w:rPr>
  </w:style>
  <w:style w:type="character" w:customStyle="1" w:styleId="TitleChar">
    <w:name w:val="Title Char"/>
    <w:link w:val="Title"/>
    <w:uiPriority w:val="10"/>
    <w:rsid w:val="0051402F"/>
    <w:rPr>
      <w:rFonts w:ascii="Cambria" w:eastAsia="Cambria" w:hAnsi="Cambria" w:cs="Cambria"/>
      <w:color w:val="17365D"/>
      <w:sz w:val="52"/>
      <w:szCs w:val="52"/>
      <w:lang w:val="id-ID"/>
    </w:rPr>
  </w:style>
  <w:style w:type="character" w:customStyle="1" w:styleId="il">
    <w:name w:val="il"/>
    <w:rsid w:val="00D05BD0"/>
  </w:style>
  <w:style w:type="paragraph" w:styleId="NormalWeb">
    <w:name w:val="Normal (Web)"/>
    <w:basedOn w:val="Normal"/>
    <w:uiPriority w:val="99"/>
    <w:unhideWhenUsed/>
    <w:rsid w:val="00FF31BD"/>
    <w:pPr>
      <w:spacing w:before="100" w:beforeAutospacing="1" w:after="100" w:afterAutospacing="1"/>
    </w:pPr>
    <w:rPr>
      <w:lang w:val="id" w:eastAsia="en-US"/>
    </w:rPr>
  </w:style>
  <w:style w:type="paragraph" w:customStyle="1" w:styleId="HeaderFooter">
    <w:name w:val="Header &amp; Footer"/>
    <w:rsid w:val="000F1415"/>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val="id"/>
    </w:rPr>
  </w:style>
  <w:style w:type="character" w:customStyle="1" w:styleId="sw">
    <w:name w:val="sw"/>
    <w:basedOn w:val="DefaultParagraphFont"/>
    <w:rsid w:val="00350833"/>
  </w:style>
  <w:style w:type="paragraph" w:customStyle="1" w:styleId="MDPI31text">
    <w:name w:val="MDPI_3.1_text"/>
    <w:qFormat/>
    <w:rsid w:val="008A6A08"/>
    <w:pPr>
      <w:adjustRightInd w:val="0"/>
      <w:snapToGrid w:val="0"/>
      <w:spacing w:line="228" w:lineRule="auto"/>
      <w:ind w:left="2608" w:firstLine="425"/>
      <w:jc w:val="both"/>
    </w:pPr>
    <w:rPr>
      <w:rFonts w:ascii="Palatino Linotype" w:hAnsi="Palatino Linotype"/>
      <w:snapToGrid w:val="0"/>
      <w:color w:val="000000"/>
      <w:kern w:val="2"/>
      <w:szCs w:val="22"/>
      <w:lang w:val="en-US" w:eastAsia="de-DE" w:bidi="en-US"/>
    </w:rPr>
  </w:style>
  <w:style w:type="paragraph" w:customStyle="1" w:styleId="MDPI22heading2">
    <w:name w:val="MDPI_2.2_heading2"/>
    <w:qFormat/>
    <w:rsid w:val="00FC7ED5"/>
    <w:pPr>
      <w:adjustRightInd w:val="0"/>
      <w:snapToGrid w:val="0"/>
      <w:spacing w:before="60" w:after="60" w:line="228" w:lineRule="auto"/>
      <w:ind w:left="2608"/>
      <w:outlineLvl w:val="1"/>
    </w:pPr>
    <w:rPr>
      <w:rFonts w:ascii="Palatino Linotype" w:hAnsi="Palatino Linotype"/>
      <w:i/>
      <w:noProof/>
      <w:snapToGrid w:val="0"/>
      <w:color w:val="000000"/>
      <w:kern w:val="2"/>
      <w:szCs w:val="22"/>
      <w:lang w:val="en-US" w:eastAsia="de-DE" w:bidi="en-US"/>
    </w:rPr>
  </w:style>
  <w:style w:type="paragraph" w:customStyle="1" w:styleId="MDPI21heading1">
    <w:name w:val="MDPI_2.1_heading1"/>
    <w:qFormat/>
    <w:rsid w:val="00FC2550"/>
    <w:pPr>
      <w:adjustRightInd w:val="0"/>
      <w:snapToGrid w:val="0"/>
      <w:spacing w:before="240" w:after="60" w:line="228" w:lineRule="auto"/>
      <w:ind w:left="2608"/>
      <w:outlineLvl w:val="0"/>
    </w:pPr>
    <w:rPr>
      <w:rFonts w:ascii="Palatino Linotype" w:hAnsi="Palatino Linotype"/>
      <w:b/>
      <w:snapToGrid w:val="0"/>
      <w:color w:val="000000"/>
      <w:kern w:val="2"/>
      <w:szCs w:val="22"/>
      <w:lang w:val="en-US" w:eastAsia="de-DE" w:bidi="en-US"/>
    </w:rPr>
  </w:style>
  <w:style w:type="character" w:customStyle="1" w:styleId="c-pjlv">
    <w:name w:val="c-pjlv"/>
    <w:basedOn w:val="DefaultParagraphFont"/>
    <w:rsid w:val="00334E37"/>
  </w:style>
  <w:style w:type="character" w:customStyle="1" w:styleId="label">
    <w:name w:val="label"/>
    <w:basedOn w:val="DefaultParagraphFont"/>
    <w:rsid w:val="00337E2A"/>
  </w:style>
  <w:style w:type="character" w:customStyle="1" w:styleId="value">
    <w:name w:val="value"/>
    <w:basedOn w:val="DefaultParagraphFont"/>
    <w:rsid w:val="00337E2A"/>
  </w:style>
  <w:style w:type="table" w:styleId="TableGridLight">
    <w:name w:val="Grid Table Light"/>
    <w:basedOn w:val="TableNormal"/>
    <w:uiPriority w:val="40"/>
    <w:rsid w:val="00220AF0"/>
    <w:rPr>
      <w:rFonts w:asciiTheme="minorHAnsi" w:eastAsiaTheme="minorHAnsi" w:hAnsiTheme="minorHAnsi" w:cstheme="minorBidi"/>
      <w:kern w:val="2"/>
      <w:lang w:val="en-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16E1C"/>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nchor-text">
    <w:name w:val="anchor-text"/>
    <w:basedOn w:val="DefaultParagraphFont"/>
    <w:rsid w:val="00253DD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nc/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3kooQvmsrE9ecpzQJpL4G8+9Q==">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ybHdhbXZ2MgppZC4xbXJjdTA5MgppZC40NnIwY28yMgppZC4xMTFreDNvMgppZC4zbDE4ZnJoMgppZC4yemJnaXV3MgppZC4yMDZpcHphMgppZC40azY2OG4zMgppZC4xZWdxdDJwMgppZC4zeWdlYnFpMglpZC5zcXl3NjQyCmlkLjJkbG9seWIyCmlkLjNjcW1ldHgyCmlkLjFydndwMXEyCmlkLjE2NjRzNTUyCmlkLjJyMHVoeGMyCmlkLjRidms3cGoyCmlkLjNxNXNhc3kyCWlkLmtnY3Y4azIKaWQuMzRnMGR3ZDIKaWQuMjViMmwwcjIKaWQuMWpsYW80NjIKaWQuNDNreTZyejIKaWQuMmlxOGd6czIJaWQueHZpcjdsMgppZC4zaHY2OXZlOAByITE4c1JqZmJhSlFKWFpKTVJPLWZsdktxRmpwVndIU21x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D96397-B384-4C32-A50B-B7DC457DC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10</Pages>
  <Words>14089</Words>
  <Characters>78904</Characters>
  <Application>Microsoft Office Word</Application>
  <DocSecurity>0</DocSecurity>
  <Lines>1360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REVIEWER JURNAL</cp:lastModifiedBy>
  <cp:revision>14</cp:revision>
  <dcterms:created xsi:type="dcterms:W3CDTF">2025-03-09T03:33:00Z</dcterms:created>
  <dcterms:modified xsi:type="dcterms:W3CDTF">2025-09-11T08:56:00Z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3278bbff-9c1e-3c0e-9a47-7acbf2783c60</vt:lpwstr>
  </property>
  <property fmtid="{D5CDD505-2E9C-101B-9397-08002B2CF9AE}" pid="24" name="Mendeley Citation Style_1">
    <vt:lpwstr>http://www.zotero.org/styles/apa</vt:lpwstr>
  </property>
  <property fmtid="{D5CDD505-2E9C-101B-9397-08002B2CF9AE}" pid="25" name="GrammarlyDocumentId">
    <vt:lpwstr>dc12cec224a64970703657275ccc541d0f105f1e40dd2768ad049c5c8bb08f81</vt:lpwstr>
  </property>
</Properties>
</file>